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DB34" w14:textId="28D36984" w:rsidR="00097445" w:rsidRPr="003C78BD" w:rsidRDefault="00097445" w:rsidP="00097445">
      <w:pPr>
        <w:jc w:val="center"/>
        <w:rPr>
          <w:rFonts w:eastAsia="Franklin Gothic Heavy" w:cs="Franklin Gothic Heavy"/>
          <w:b/>
        </w:rPr>
      </w:pPr>
      <w:bookmarkStart w:id="0" w:name="_GoBack"/>
      <w:bookmarkEnd w:id="0"/>
      <w:r>
        <w:rPr>
          <w:b/>
        </w:rPr>
        <w:t xml:space="preserve">Answer to </w:t>
      </w:r>
      <w:r w:rsidR="00BA4DFA">
        <w:rPr>
          <w:b/>
        </w:rPr>
        <w:t>the question No 1 submitted by T</w:t>
      </w:r>
      <w:r>
        <w:rPr>
          <w:b/>
        </w:rPr>
        <w:t xml:space="preserve">enderer </w:t>
      </w:r>
    </w:p>
    <w:p w14:paraId="654039DF" w14:textId="278CB866" w:rsidR="00097445" w:rsidRPr="00621EBF" w:rsidRDefault="00BA4DFA" w:rsidP="00097445">
      <w:pPr>
        <w:jc w:val="center"/>
        <w:rPr>
          <w:rFonts w:eastAsia="Franklin Gothic Heavy" w:cs="Franklin Gothic Heavy"/>
          <w:b/>
        </w:rPr>
      </w:pPr>
      <w:r>
        <w:rPr>
          <w:b/>
        </w:rPr>
        <w:t>about</w:t>
      </w:r>
      <w:r w:rsidR="00097445">
        <w:rPr>
          <w:b/>
        </w:rPr>
        <w:t xml:space="preserve"> the procurement “Rights of using the delivery platform of e-books for the needs of the RTU”</w:t>
      </w:r>
    </w:p>
    <w:p w14:paraId="6BF91400" w14:textId="77777777" w:rsidR="00097445" w:rsidRPr="00F1549F" w:rsidRDefault="00097445" w:rsidP="00097445">
      <w:pPr>
        <w:jc w:val="center"/>
        <w:rPr>
          <w:rFonts w:eastAsia="Franklin Gothic Heavy" w:cs="Franklin Gothic Heavy"/>
          <w:b/>
        </w:rPr>
      </w:pPr>
      <w:r>
        <w:rPr>
          <w:b/>
        </w:rPr>
        <w:t>ID No RTU-2016/37</w:t>
      </w:r>
    </w:p>
    <w:p w14:paraId="4D8124BB" w14:textId="77777777" w:rsidR="00097445" w:rsidRDefault="00097445" w:rsidP="00097445">
      <w:pPr>
        <w:rPr>
          <w:rFonts w:eastAsia="Franklin Gothic Heavy" w:cs="Franklin Gothic Heavy"/>
        </w:rPr>
      </w:pPr>
    </w:p>
    <w:p w14:paraId="6E6B06F4" w14:textId="77777777" w:rsidR="00097445" w:rsidRDefault="00097445" w:rsidP="00097445">
      <w:pPr>
        <w:rPr>
          <w:rFonts w:eastAsia="Franklin Gothic Heavy" w:cs="Franklin Gothic Heavy"/>
        </w:rPr>
      </w:pPr>
      <w:r>
        <w:t>Riga, 28/09/2016</w:t>
      </w:r>
    </w:p>
    <w:p w14:paraId="1AF6A37F" w14:textId="77777777" w:rsidR="00097445" w:rsidRDefault="00097445" w:rsidP="00097445">
      <w:pPr>
        <w:jc w:val="right"/>
        <w:rPr>
          <w:rFonts w:ascii="Book Antiqua" w:hAnsi="Book Antiqua"/>
          <w:b/>
          <w:sz w:val="22"/>
          <w:szCs w:val="22"/>
        </w:rPr>
      </w:pPr>
    </w:p>
    <w:p w14:paraId="0D3EA21F" w14:textId="77777777" w:rsidR="00653597" w:rsidRPr="001B3A71" w:rsidRDefault="00653597" w:rsidP="00097445">
      <w:pPr>
        <w:jc w:val="right"/>
        <w:rPr>
          <w:rFonts w:ascii="Book Antiqua" w:hAnsi="Book Antiqua"/>
          <w:b/>
          <w:sz w:val="22"/>
          <w:szCs w:val="22"/>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1683"/>
        <w:gridCol w:w="3670"/>
        <w:gridCol w:w="3508"/>
      </w:tblGrid>
      <w:tr w:rsidR="002775B8" w:rsidRPr="00621B97" w14:paraId="24A2AD18" w14:textId="77777777" w:rsidTr="00CA25CE">
        <w:trPr>
          <w:cantSplit/>
          <w:tblHeader/>
        </w:trPr>
        <w:tc>
          <w:tcPr>
            <w:tcW w:w="296" w:type="pct"/>
            <w:tcBorders>
              <w:top w:val="single" w:sz="4" w:space="0" w:color="auto"/>
              <w:left w:val="single" w:sz="4" w:space="0" w:color="auto"/>
              <w:bottom w:val="single" w:sz="4" w:space="0" w:color="auto"/>
              <w:right w:val="single" w:sz="4" w:space="0" w:color="auto"/>
            </w:tcBorders>
            <w:shd w:val="clear" w:color="auto" w:fill="D9D9D9"/>
          </w:tcPr>
          <w:p w14:paraId="36DE2F98" w14:textId="77777777" w:rsidR="00097445" w:rsidRPr="00CA25CE" w:rsidRDefault="00097445" w:rsidP="004B7C53">
            <w:pPr>
              <w:spacing w:beforeLines="60" w:before="144"/>
              <w:jc w:val="center"/>
            </w:pPr>
            <w:r>
              <w:t>No</w:t>
            </w:r>
          </w:p>
        </w:tc>
        <w:tc>
          <w:tcPr>
            <w:tcW w:w="812" w:type="pct"/>
            <w:tcBorders>
              <w:top w:val="single" w:sz="4" w:space="0" w:color="auto"/>
              <w:left w:val="single" w:sz="4" w:space="0" w:color="auto"/>
              <w:bottom w:val="single" w:sz="4" w:space="0" w:color="auto"/>
              <w:right w:val="single" w:sz="4" w:space="0" w:color="auto"/>
            </w:tcBorders>
            <w:shd w:val="clear" w:color="auto" w:fill="D9D9D9"/>
            <w:vAlign w:val="center"/>
          </w:tcPr>
          <w:p w14:paraId="04D4AAC3" w14:textId="77777777" w:rsidR="00097445" w:rsidRPr="00CA25CE" w:rsidRDefault="00097445" w:rsidP="004B7C53">
            <w:pPr>
              <w:spacing w:beforeLines="60" w:before="144"/>
              <w:jc w:val="center"/>
            </w:pPr>
            <w:r>
              <w:t>Section of the Regulations</w:t>
            </w:r>
          </w:p>
        </w:tc>
        <w:tc>
          <w:tcPr>
            <w:tcW w:w="1992" w:type="pct"/>
            <w:tcBorders>
              <w:top w:val="single" w:sz="4" w:space="0" w:color="auto"/>
              <w:left w:val="single" w:sz="4" w:space="0" w:color="auto"/>
              <w:bottom w:val="single" w:sz="4" w:space="0" w:color="auto"/>
              <w:right w:val="single" w:sz="4" w:space="0" w:color="auto"/>
            </w:tcBorders>
            <w:shd w:val="clear" w:color="auto" w:fill="D9D9D9"/>
            <w:vAlign w:val="center"/>
          </w:tcPr>
          <w:p w14:paraId="6DA7A925" w14:textId="77777777" w:rsidR="00097445" w:rsidRPr="00CA25CE" w:rsidRDefault="00097445" w:rsidP="004B7C53">
            <w:pPr>
              <w:spacing w:beforeLines="60" w:before="144"/>
              <w:jc w:val="center"/>
            </w:pPr>
            <w:r>
              <w:t>Question / suggestion</w:t>
            </w:r>
          </w:p>
        </w:tc>
        <w:tc>
          <w:tcPr>
            <w:tcW w:w="1900" w:type="pct"/>
            <w:tcBorders>
              <w:top w:val="single" w:sz="4" w:space="0" w:color="auto"/>
              <w:left w:val="single" w:sz="4" w:space="0" w:color="auto"/>
              <w:bottom w:val="single" w:sz="4" w:space="0" w:color="auto"/>
              <w:right w:val="single" w:sz="4" w:space="0" w:color="auto"/>
            </w:tcBorders>
            <w:shd w:val="clear" w:color="auto" w:fill="D9D9D9"/>
          </w:tcPr>
          <w:p w14:paraId="5410D405" w14:textId="77777777" w:rsidR="00097445" w:rsidRPr="00CA25CE" w:rsidRDefault="00097445" w:rsidP="004B7C53">
            <w:pPr>
              <w:spacing w:beforeLines="60" w:before="144"/>
              <w:jc w:val="center"/>
            </w:pPr>
            <w:r>
              <w:t>Answer</w:t>
            </w:r>
          </w:p>
        </w:tc>
      </w:tr>
      <w:tr w:rsidR="002775B8" w:rsidRPr="00621B97" w14:paraId="7E0E0C01" w14:textId="77777777" w:rsidTr="00CA25CE">
        <w:trPr>
          <w:cantSplit/>
        </w:trPr>
        <w:tc>
          <w:tcPr>
            <w:tcW w:w="296" w:type="pct"/>
            <w:tcBorders>
              <w:top w:val="single" w:sz="4" w:space="0" w:color="auto"/>
              <w:left w:val="single" w:sz="4" w:space="0" w:color="auto"/>
              <w:bottom w:val="single" w:sz="4" w:space="0" w:color="auto"/>
              <w:right w:val="single" w:sz="4" w:space="0" w:color="auto"/>
            </w:tcBorders>
          </w:tcPr>
          <w:p w14:paraId="0FD72D11" w14:textId="77777777" w:rsidR="00097445" w:rsidRPr="00CA25CE" w:rsidRDefault="00097445" w:rsidP="007726D9">
            <w:pPr>
              <w:spacing w:beforeLines="60" w:before="144"/>
              <w:jc w:val="both"/>
            </w:pPr>
            <w:r>
              <w:t>1</w:t>
            </w:r>
          </w:p>
        </w:tc>
        <w:tc>
          <w:tcPr>
            <w:tcW w:w="812" w:type="pct"/>
            <w:tcBorders>
              <w:top w:val="single" w:sz="4" w:space="0" w:color="auto"/>
              <w:left w:val="single" w:sz="4" w:space="0" w:color="auto"/>
              <w:bottom w:val="single" w:sz="4" w:space="0" w:color="auto"/>
              <w:right w:val="single" w:sz="4" w:space="0" w:color="auto"/>
            </w:tcBorders>
          </w:tcPr>
          <w:p w14:paraId="4CE89342" w14:textId="5C51A9B9" w:rsidR="00097445" w:rsidRPr="00CA25CE" w:rsidRDefault="00097445" w:rsidP="007726D9">
            <w:pPr>
              <w:spacing w:beforeLines="60" w:before="144"/>
              <w:jc w:val="both"/>
            </w:pPr>
            <w:r>
              <w:t>Technical specifications o</w:t>
            </w:r>
            <w:r w:rsidR="00BA4DFA">
              <w:t>f the commissioning authority, S</w:t>
            </w:r>
            <w:r>
              <w:t xml:space="preserve">ection </w:t>
            </w:r>
          </w:p>
          <w:p w14:paraId="116619A8" w14:textId="77777777" w:rsidR="00097445" w:rsidRPr="00CA25CE" w:rsidRDefault="00097445" w:rsidP="007726D9">
            <w:pPr>
              <w:spacing w:beforeLines="60" w:before="144"/>
              <w:jc w:val="both"/>
            </w:pPr>
            <w:r>
              <w:t>No 13</w:t>
            </w:r>
          </w:p>
        </w:tc>
        <w:tc>
          <w:tcPr>
            <w:tcW w:w="1992" w:type="pct"/>
            <w:tcBorders>
              <w:top w:val="single" w:sz="4" w:space="0" w:color="auto"/>
              <w:left w:val="single" w:sz="4" w:space="0" w:color="auto"/>
              <w:bottom w:val="single" w:sz="4" w:space="0" w:color="auto"/>
              <w:right w:val="single" w:sz="4" w:space="0" w:color="auto"/>
            </w:tcBorders>
          </w:tcPr>
          <w:p w14:paraId="14F2EADF" w14:textId="77777777" w:rsidR="00097445" w:rsidRPr="00CA25CE" w:rsidRDefault="00097445" w:rsidP="000F5600">
            <w:pPr>
              <w:autoSpaceDE w:val="0"/>
              <w:autoSpaceDN w:val="0"/>
              <w:adjustRightInd w:val="0"/>
              <w:jc w:val="both"/>
              <w:rPr>
                <w:bCs/>
                <w:i/>
              </w:rPr>
            </w:pPr>
            <w:r>
              <w:rPr>
                <w:i/>
              </w:rPr>
              <w:t>Online payments</w:t>
            </w:r>
          </w:p>
          <w:p w14:paraId="46292043" w14:textId="05B9979B" w:rsidR="00097445" w:rsidRPr="00CA25CE" w:rsidRDefault="00097445" w:rsidP="000F5600">
            <w:pPr>
              <w:autoSpaceDE w:val="0"/>
              <w:autoSpaceDN w:val="0"/>
              <w:adjustRightInd w:val="0"/>
              <w:jc w:val="both"/>
              <w:rPr>
                <w:bCs/>
                <w:i/>
              </w:rPr>
            </w:pPr>
            <w:r>
              <w:rPr>
                <w:i/>
              </w:rPr>
              <w:t>1</w:t>
            </w:r>
            <w:r>
              <w:tab/>
            </w:r>
            <w:r>
              <w:rPr>
                <w:i/>
              </w:rPr>
              <w:t>Provides an option for the Platform users to pay at least with a payment card (at least VISA, MasterCard).</w:t>
            </w:r>
          </w:p>
          <w:p w14:paraId="32C78D79" w14:textId="066FD591" w:rsidR="00097445" w:rsidRPr="00CA25CE" w:rsidRDefault="00097445" w:rsidP="00097445">
            <w:pPr>
              <w:autoSpaceDE w:val="0"/>
              <w:autoSpaceDN w:val="0"/>
              <w:adjustRightInd w:val="0"/>
              <w:spacing w:beforeLines="60" w:before="144"/>
              <w:jc w:val="both"/>
            </w:pPr>
            <w:r>
              <w:rPr>
                <w:b/>
                <w:u w:val="single"/>
              </w:rPr>
              <w:t>Question No 1</w:t>
            </w:r>
            <w:r>
              <w:t>: Please explain, if the Commissioning Authority plans to provide a complete payment card transaction processing solution (the trading account opening and maintenance costs, the contra</w:t>
            </w:r>
            <w:r w:rsidR="00DF53C2">
              <w:t>ct with a banking institution about</w:t>
            </w:r>
            <w:r>
              <w:t xml:space="preserve"> the online use of payment cards, the contract with the card transaction processing system manufacturer)? If yes, please indicate name of the manufacturer and the payment card transaction processing system, which should be included in the interface solution for e-book purchase platform.</w:t>
            </w:r>
          </w:p>
        </w:tc>
        <w:tc>
          <w:tcPr>
            <w:tcW w:w="1900" w:type="pct"/>
            <w:tcBorders>
              <w:top w:val="single" w:sz="4" w:space="0" w:color="auto"/>
              <w:left w:val="single" w:sz="4" w:space="0" w:color="auto"/>
              <w:bottom w:val="single" w:sz="4" w:space="0" w:color="auto"/>
              <w:right w:val="single" w:sz="4" w:space="0" w:color="auto"/>
            </w:tcBorders>
          </w:tcPr>
          <w:p w14:paraId="6F7E956E" w14:textId="36400EF3" w:rsidR="00097445" w:rsidRPr="00CA25CE" w:rsidRDefault="001B6A3C" w:rsidP="00097445">
            <w:pPr>
              <w:autoSpaceDE w:val="0"/>
              <w:autoSpaceDN w:val="0"/>
              <w:adjustRightInd w:val="0"/>
              <w:spacing w:beforeLines="60" w:before="144"/>
              <w:jc w:val="both"/>
            </w:pPr>
            <w:r>
              <w:t xml:space="preserve">The Supplier provides complete payment card transaction processing solution. A user should be able to pay </w:t>
            </w:r>
            <w:r w:rsidR="00DF53C2">
              <w:t>at least by VISA and MASTERCARD.</w:t>
            </w:r>
            <w:r>
              <w:t xml:space="preserve"> The Supplier can choose the card transaction system at its discretion.</w:t>
            </w:r>
          </w:p>
          <w:p w14:paraId="663799A4" w14:textId="77777777" w:rsidR="00097445" w:rsidRPr="00CA25CE" w:rsidRDefault="00097445" w:rsidP="000F5600">
            <w:pPr>
              <w:autoSpaceDE w:val="0"/>
              <w:autoSpaceDN w:val="0"/>
              <w:adjustRightInd w:val="0"/>
              <w:jc w:val="both"/>
              <w:rPr>
                <w:bCs/>
                <w:i/>
              </w:rPr>
            </w:pPr>
          </w:p>
        </w:tc>
      </w:tr>
      <w:tr w:rsidR="002775B8" w:rsidRPr="00621B97" w14:paraId="401A3B21" w14:textId="77777777" w:rsidTr="00CA25CE">
        <w:trPr>
          <w:cantSplit/>
        </w:trPr>
        <w:tc>
          <w:tcPr>
            <w:tcW w:w="296" w:type="pct"/>
            <w:tcBorders>
              <w:top w:val="single" w:sz="4" w:space="0" w:color="auto"/>
              <w:left w:val="single" w:sz="4" w:space="0" w:color="auto"/>
              <w:bottom w:val="single" w:sz="4" w:space="0" w:color="auto"/>
              <w:right w:val="single" w:sz="4" w:space="0" w:color="auto"/>
            </w:tcBorders>
          </w:tcPr>
          <w:p w14:paraId="7BEF83FC" w14:textId="77777777" w:rsidR="00097445" w:rsidRPr="00CA25CE" w:rsidRDefault="00097445" w:rsidP="00CB15A7">
            <w:pPr>
              <w:spacing w:beforeLines="60" w:before="144"/>
              <w:jc w:val="both"/>
            </w:pPr>
            <w:r>
              <w:t>2</w:t>
            </w:r>
          </w:p>
        </w:tc>
        <w:tc>
          <w:tcPr>
            <w:tcW w:w="812" w:type="pct"/>
            <w:tcBorders>
              <w:top w:val="single" w:sz="4" w:space="0" w:color="auto"/>
              <w:left w:val="single" w:sz="4" w:space="0" w:color="auto"/>
              <w:bottom w:val="single" w:sz="4" w:space="0" w:color="auto"/>
              <w:right w:val="single" w:sz="4" w:space="0" w:color="auto"/>
            </w:tcBorders>
          </w:tcPr>
          <w:p w14:paraId="2EA7640B" w14:textId="5BE97391" w:rsidR="00097445" w:rsidRPr="00CA25CE" w:rsidRDefault="00097445" w:rsidP="00CB15A7">
            <w:pPr>
              <w:spacing w:beforeLines="60" w:before="144"/>
              <w:jc w:val="both"/>
            </w:pPr>
            <w:r>
              <w:t>Technical specifications o</w:t>
            </w:r>
            <w:r w:rsidR="00BA4DFA">
              <w:t>f the commissioning authority, S</w:t>
            </w:r>
            <w:r>
              <w:t>ection No 5.</w:t>
            </w:r>
          </w:p>
        </w:tc>
        <w:tc>
          <w:tcPr>
            <w:tcW w:w="1992" w:type="pct"/>
            <w:tcBorders>
              <w:top w:val="single" w:sz="4" w:space="0" w:color="auto"/>
              <w:left w:val="single" w:sz="4" w:space="0" w:color="auto"/>
              <w:bottom w:val="single" w:sz="4" w:space="0" w:color="auto"/>
              <w:right w:val="single" w:sz="4" w:space="0" w:color="auto"/>
            </w:tcBorders>
          </w:tcPr>
          <w:p w14:paraId="66B5B975" w14:textId="77777777" w:rsidR="00097445" w:rsidRPr="00CA25CE" w:rsidRDefault="00097445" w:rsidP="00CB15A7">
            <w:pPr>
              <w:autoSpaceDE w:val="0"/>
              <w:autoSpaceDN w:val="0"/>
              <w:adjustRightInd w:val="0"/>
              <w:jc w:val="both"/>
              <w:rPr>
                <w:bCs/>
                <w:i/>
                <w:highlight w:val="yellow"/>
              </w:rPr>
            </w:pPr>
            <w:r>
              <w:rPr>
                <w:i/>
              </w:rPr>
              <w:t>2</w:t>
            </w:r>
            <w:r>
              <w:tab/>
            </w:r>
            <w:r>
              <w:rPr>
                <w:i/>
              </w:rPr>
              <w:t>Provides individual and institutional access to the Platform</w:t>
            </w:r>
          </w:p>
          <w:p w14:paraId="6498B7EF" w14:textId="729C9538" w:rsidR="00097445" w:rsidRPr="00CA25CE" w:rsidRDefault="00097445" w:rsidP="00097445">
            <w:pPr>
              <w:autoSpaceDE w:val="0"/>
              <w:autoSpaceDN w:val="0"/>
              <w:adjustRightInd w:val="0"/>
              <w:spacing w:beforeLines="60" w:before="144"/>
              <w:jc w:val="both"/>
              <w:rPr>
                <w:highlight w:val="yellow"/>
              </w:rPr>
            </w:pPr>
            <w:r>
              <w:rPr>
                <w:b/>
                <w:u w:val="single"/>
              </w:rPr>
              <w:t>Question No 2</w:t>
            </w:r>
            <w:r>
              <w:t>: Please explain, if the Supplier should include its infrastructure in the tender (servers, network and internet connection, maintenance of this platform) with regard to the e-book platform or the Commissioning Authority plans to provide its own infrastructure? If the Supplier should provide an infrastructure, please indicate the respective positions of t</w:t>
            </w:r>
            <w:r w:rsidR="00DF53C2">
              <w:t>he financial tender, where the respective</w:t>
            </w:r>
            <w:r>
              <w:t xml:space="preserve"> costs should be included.</w:t>
            </w:r>
          </w:p>
        </w:tc>
        <w:tc>
          <w:tcPr>
            <w:tcW w:w="1900" w:type="pct"/>
            <w:tcBorders>
              <w:top w:val="single" w:sz="4" w:space="0" w:color="auto"/>
              <w:left w:val="single" w:sz="4" w:space="0" w:color="auto"/>
              <w:bottom w:val="single" w:sz="4" w:space="0" w:color="auto"/>
              <w:right w:val="single" w:sz="4" w:space="0" w:color="auto"/>
            </w:tcBorders>
          </w:tcPr>
          <w:p w14:paraId="596E5D8C" w14:textId="2F693B02" w:rsidR="00003D6D" w:rsidRDefault="001B6A3C" w:rsidP="00B345DA">
            <w:pPr>
              <w:autoSpaceDE w:val="0"/>
              <w:autoSpaceDN w:val="0"/>
              <w:adjustRightInd w:val="0"/>
              <w:spacing w:beforeLines="60" w:before="144"/>
              <w:jc w:val="both"/>
            </w:pPr>
            <w:r>
              <w:t>According to the Section 1.1 of the technical specifications, Supplier of the Platform provides well-functioning e-book system and is entitled to transfer to the Commissioning authority the rights of using this system. Therefore the Supplier can choose, wh</w:t>
            </w:r>
            <w:r w:rsidR="00DF53C2">
              <w:t>ere the Platform is located</w:t>
            </w:r>
            <w:r>
              <w:t xml:space="preserve"> and provides the infrastructure for the hosting of e-book platform. </w:t>
            </w:r>
          </w:p>
          <w:p w14:paraId="7B993885" w14:textId="30D80E4D" w:rsidR="00097445" w:rsidRPr="00CA25CE" w:rsidRDefault="00621B97" w:rsidP="00B345DA">
            <w:pPr>
              <w:autoSpaceDE w:val="0"/>
              <w:autoSpaceDN w:val="0"/>
              <w:adjustRightInd w:val="0"/>
              <w:spacing w:beforeLines="60" w:before="144"/>
              <w:jc w:val="both"/>
              <w:rPr>
                <w:bCs/>
                <w:i/>
              </w:rPr>
            </w:pPr>
            <w:r>
              <w:t>The related costs should be included under positions No 17 "Amount of the one-time fee (including adding second language and the annual service fee for the year) 1" and No 18 "Annual service fee" of the Section II in the Financial Tender.</w:t>
            </w:r>
          </w:p>
        </w:tc>
      </w:tr>
      <w:tr w:rsidR="002775B8" w:rsidRPr="00621B97" w14:paraId="1ADD26AA" w14:textId="77777777" w:rsidTr="00CA25CE">
        <w:trPr>
          <w:cantSplit/>
        </w:trPr>
        <w:tc>
          <w:tcPr>
            <w:tcW w:w="296" w:type="pct"/>
            <w:tcBorders>
              <w:top w:val="single" w:sz="4" w:space="0" w:color="auto"/>
              <w:left w:val="single" w:sz="4" w:space="0" w:color="auto"/>
              <w:bottom w:val="single" w:sz="4" w:space="0" w:color="auto"/>
              <w:right w:val="single" w:sz="4" w:space="0" w:color="auto"/>
            </w:tcBorders>
          </w:tcPr>
          <w:p w14:paraId="495B41B8" w14:textId="77777777" w:rsidR="00097445" w:rsidRPr="00CA25CE" w:rsidRDefault="00097445" w:rsidP="009F0672">
            <w:pPr>
              <w:spacing w:beforeLines="60" w:before="144"/>
              <w:jc w:val="both"/>
            </w:pPr>
            <w:r>
              <w:lastRenderedPageBreak/>
              <w:t>3</w:t>
            </w:r>
          </w:p>
        </w:tc>
        <w:tc>
          <w:tcPr>
            <w:tcW w:w="812" w:type="pct"/>
            <w:tcBorders>
              <w:top w:val="single" w:sz="4" w:space="0" w:color="auto"/>
              <w:left w:val="single" w:sz="4" w:space="0" w:color="auto"/>
              <w:bottom w:val="single" w:sz="4" w:space="0" w:color="auto"/>
              <w:right w:val="single" w:sz="4" w:space="0" w:color="auto"/>
            </w:tcBorders>
          </w:tcPr>
          <w:p w14:paraId="4CF51CCA" w14:textId="3B7864CD" w:rsidR="00097445" w:rsidRPr="00CA25CE" w:rsidRDefault="00097445" w:rsidP="009F0672">
            <w:pPr>
              <w:spacing w:beforeLines="60" w:before="144"/>
              <w:jc w:val="both"/>
            </w:pPr>
            <w:r>
              <w:t>Technical specifications o</w:t>
            </w:r>
            <w:r w:rsidR="00BA4DFA">
              <w:t>f the commissioning authority, S</w:t>
            </w:r>
            <w:r>
              <w:t>ection No 9.</w:t>
            </w:r>
          </w:p>
        </w:tc>
        <w:tc>
          <w:tcPr>
            <w:tcW w:w="1992" w:type="pct"/>
            <w:tcBorders>
              <w:top w:val="single" w:sz="4" w:space="0" w:color="auto"/>
              <w:left w:val="single" w:sz="4" w:space="0" w:color="auto"/>
              <w:bottom w:val="single" w:sz="4" w:space="0" w:color="auto"/>
              <w:right w:val="single" w:sz="4" w:space="0" w:color="auto"/>
            </w:tcBorders>
          </w:tcPr>
          <w:p w14:paraId="725E4F44" w14:textId="77777777" w:rsidR="00097445" w:rsidRPr="00CA25CE" w:rsidRDefault="00097445" w:rsidP="009F0672">
            <w:pPr>
              <w:autoSpaceDE w:val="0"/>
              <w:autoSpaceDN w:val="0"/>
              <w:adjustRightInd w:val="0"/>
              <w:spacing w:beforeLines="60" w:before="144"/>
              <w:jc w:val="both"/>
              <w:rPr>
                <w:bCs/>
                <w:i/>
              </w:rPr>
            </w:pPr>
            <w:r>
              <w:rPr>
                <w:i/>
              </w:rPr>
              <w:t>9</w:t>
            </w:r>
            <w:r>
              <w:tab/>
            </w:r>
            <w:r>
              <w:rPr>
                <w:i/>
              </w:rPr>
              <w:t>E-book and e-magazine catalogue of the platform is available for the following registered users: (1) RTU authorised users by using the existing OAUTH2.0 based authorisation solution (the Commissioning authority will provide the necessary technical information regarding this requirement after the conclusion of the contract)</w:t>
            </w:r>
          </w:p>
          <w:p w14:paraId="2713D466" w14:textId="77777777" w:rsidR="00097445" w:rsidRPr="00CA25CE" w:rsidRDefault="00097445" w:rsidP="00097445">
            <w:pPr>
              <w:autoSpaceDE w:val="0"/>
              <w:autoSpaceDN w:val="0"/>
              <w:adjustRightInd w:val="0"/>
              <w:spacing w:beforeLines="60" w:before="144"/>
              <w:jc w:val="both"/>
              <w:rPr>
                <w:highlight w:val="yellow"/>
              </w:rPr>
            </w:pPr>
            <w:r>
              <w:rPr>
                <w:b/>
                <w:u w:val="single"/>
              </w:rPr>
              <w:t>Question No 3</w:t>
            </w:r>
            <w:r>
              <w:t>: Can we assume that the authorisation solution for users from other institutions technologically will be the same as for the RTU (OAUTH2.0 based)? Taking into account that the connecting of additional authorisation source requires extra configuration work, do you know, how many institutions will need the authorisation?</w:t>
            </w:r>
          </w:p>
        </w:tc>
        <w:tc>
          <w:tcPr>
            <w:tcW w:w="1900" w:type="pct"/>
            <w:tcBorders>
              <w:top w:val="single" w:sz="4" w:space="0" w:color="auto"/>
              <w:left w:val="single" w:sz="4" w:space="0" w:color="auto"/>
              <w:bottom w:val="single" w:sz="4" w:space="0" w:color="auto"/>
              <w:right w:val="single" w:sz="4" w:space="0" w:color="auto"/>
            </w:tcBorders>
          </w:tcPr>
          <w:p w14:paraId="3EC807B9" w14:textId="47B583C7" w:rsidR="00097445" w:rsidRPr="00CA25CE" w:rsidRDefault="00097445" w:rsidP="00003D6D">
            <w:pPr>
              <w:autoSpaceDE w:val="0"/>
              <w:autoSpaceDN w:val="0"/>
              <w:adjustRightInd w:val="0"/>
              <w:spacing w:beforeLines="60" w:before="144"/>
              <w:jc w:val="both"/>
              <w:rPr>
                <w:bCs/>
                <w:i/>
              </w:rPr>
            </w:pPr>
            <w:r>
              <w:t xml:space="preserve">OAUTH2.0 based authorisation solution is planned only for RTU users. Other institutions will use the accounts of the registered users of the Platform (it is not planned to connect additional authorisation sources to the Platform). </w:t>
            </w:r>
          </w:p>
        </w:tc>
      </w:tr>
      <w:tr w:rsidR="002775B8" w:rsidRPr="00621B97" w14:paraId="50F0DA54" w14:textId="77777777" w:rsidTr="00CA25CE">
        <w:tc>
          <w:tcPr>
            <w:tcW w:w="296" w:type="pct"/>
            <w:tcBorders>
              <w:top w:val="single" w:sz="4" w:space="0" w:color="auto"/>
              <w:left w:val="single" w:sz="4" w:space="0" w:color="auto"/>
              <w:bottom w:val="single" w:sz="4" w:space="0" w:color="auto"/>
              <w:right w:val="single" w:sz="4" w:space="0" w:color="auto"/>
            </w:tcBorders>
          </w:tcPr>
          <w:p w14:paraId="31211529" w14:textId="77777777" w:rsidR="00097445" w:rsidRPr="00CA25CE" w:rsidRDefault="00097445" w:rsidP="009F0672">
            <w:pPr>
              <w:spacing w:beforeLines="60" w:before="144"/>
              <w:jc w:val="both"/>
            </w:pPr>
            <w:r>
              <w:t>4</w:t>
            </w:r>
          </w:p>
        </w:tc>
        <w:tc>
          <w:tcPr>
            <w:tcW w:w="812" w:type="pct"/>
            <w:tcBorders>
              <w:top w:val="single" w:sz="4" w:space="0" w:color="auto"/>
              <w:left w:val="single" w:sz="4" w:space="0" w:color="auto"/>
              <w:bottom w:val="single" w:sz="4" w:space="0" w:color="auto"/>
              <w:right w:val="single" w:sz="4" w:space="0" w:color="auto"/>
            </w:tcBorders>
          </w:tcPr>
          <w:p w14:paraId="5D3591B8" w14:textId="62D0A4EE" w:rsidR="00097445" w:rsidRPr="00CA25CE" w:rsidRDefault="00097445" w:rsidP="009F0672">
            <w:pPr>
              <w:spacing w:beforeLines="60" w:before="144"/>
              <w:jc w:val="both"/>
            </w:pPr>
            <w:r>
              <w:t>Technical specifications o</w:t>
            </w:r>
            <w:r w:rsidR="00BA4DFA">
              <w:t>f the commissioning authority, S</w:t>
            </w:r>
            <w:r>
              <w:t>ection No 9.</w:t>
            </w:r>
          </w:p>
        </w:tc>
        <w:tc>
          <w:tcPr>
            <w:tcW w:w="1992" w:type="pct"/>
            <w:tcBorders>
              <w:top w:val="single" w:sz="4" w:space="0" w:color="auto"/>
              <w:left w:val="single" w:sz="4" w:space="0" w:color="auto"/>
              <w:bottom w:val="single" w:sz="4" w:space="0" w:color="auto"/>
              <w:right w:val="single" w:sz="4" w:space="0" w:color="auto"/>
            </w:tcBorders>
          </w:tcPr>
          <w:p w14:paraId="6B243926" w14:textId="77777777" w:rsidR="00097445" w:rsidRPr="00CA25CE" w:rsidRDefault="00097445" w:rsidP="009F0672">
            <w:pPr>
              <w:autoSpaceDE w:val="0"/>
              <w:autoSpaceDN w:val="0"/>
              <w:adjustRightInd w:val="0"/>
              <w:jc w:val="both"/>
              <w:rPr>
                <w:bCs/>
                <w:i/>
              </w:rPr>
            </w:pPr>
            <w:r>
              <w:rPr>
                <w:i/>
              </w:rPr>
              <w:t xml:space="preserve">9 Language of the Platform interface </w:t>
            </w:r>
          </w:p>
          <w:p w14:paraId="67B169ED" w14:textId="77777777" w:rsidR="00097445" w:rsidRPr="00CA25CE" w:rsidRDefault="00097445" w:rsidP="009F0672">
            <w:pPr>
              <w:autoSpaceDE w:val="0"/>
              <w:autoSpaceDN w:val="0"/>
              <w:adjustRightInd w:val="0"/>
              <w:jc w:val="both"/>
              <w:rPr>
                <w:bCs/>
                <w:i/>
              </w:rPr>
            </w:pPr>
            <w:r>
              <w:rPr>
                <w:i/>
              </w:rPr>
              <w:t>1</w:t>
            </w:r>
            <w:r>
              <w:tab/>
            </w:r>
            <w:r>
              <w:rPr>
                <w:i/>
              </w:rPr>
              <w:t>Provides the Platform interface at least in English and Latvian.</w:t>
            </w:r>
          </w:p>
          <w:p w14:paraId="1C39A482" w14:textId="77777777" w:rsidR="00097445" w:rsidRPr="00CA25CE" w:rsidRDefault="00097445" w:rsidP="00097445">
            <w:pPr>
              <w:autoSpaceDE w:val="0"/>
              <w:autoSpaceDN w:val="0"/>
              <w:adjustRightInd w:val="0"/>
              <w:spacing w:beforeLines="60" w:before="144"/>
              <w:jc w:val="both"/>
            </w:pPr>
            <w:r>
              <w:rPr>
                <w:b/>
                <w:u w:val="single"/>
              </w:rPr>
              <w:t>Question No 4</w:t>
            </w:r>
            <w:r>
              <w:t>: Does the requirement for the interface in Latvian and English replace the requirement "Provides an option for the Commissioning Authority to translate the Platform interface in additional language"?</w:t>
            </w:r>
          </w:p>
        </w:tc>
        <w:tc>
          <w:tcPr>
            <w:tcW w:w="1900" w:type="pct"/>
            <w:tcBorders>
              <w:top w:val="single" w:sz="4" w:space="0" w:color="auto"/>
              <w:left w:val="single" w:sz="4" w:space="0" w:color="auto"/>
              <w:bottom w:val="single" w:sz="4" w:space="0" w:color="auto"/>
              <w:right w:val="single" w:sz="4" w:space="0" w:color="auto"/>
            </w:tcBorders>
          </w:tcPr>
          <w:p w14:paraId="6A68C8EB" w14:textId="5E54BE7E" w:rsidR="00097445" w:rsidRPr="00CA25CE" w:rsidRDefault="004C04D7" w:rsidP="002775B8">
            <w:pPr>
              <w:autoSpaceDE w:val="0"/>
              <w:autoSpaceDN w:val="0"/>
              <w:adjustRightInd w:val="0"/>
              <w:jc w:val="both"/>
              <w:rPr>
                <w:bCs/>
                <w:i/>
              </w:rPr>
            </w:pPr>
            <w:r>
              <w:t xml:space="preserve">The Supplier should provide an interface in one of the indicated languages (English or Latvian) but the Commissioning Authority has the rights to translate it to any other language (not only English or Latvian); therefore it cannot be considered that the requirements directly replace each other. </w:t>
            </w:r>
          </w:p>
        </w:tc>
      </w:tr>
      <w:tr w:rsidR="00621B97" w:rsidRPr="00621B97" w14:paraId="2D28809C" w14:textId="77777777" w:rsidTr="00CA25CE">
        <w:tc>
          <w:tcPr>
            <w:tcW w:w="296" w:type="pct"/>
            <w:tcBorders>
              <w:top w:val="single" w:sz="4" w:space="0" w:color="auto"/>
              <w:left w:val="single" w:sz="4" w:space="0" w:color="auto"/>
              <w:bottom w:val="single" w:sz="4" w:space="0" w:color="auto"/>
              <w:right w:val="single" w:sz="4" w:space="0" w:color="auto"/>
            </w:tcBorders>
          </w:tcPr>
          <w:p w14:paraId="42F4A521" w14:textId="77777777" w:rsidR="00621B97" w:rsidRPr="00CA25CE" w:rsidRDefault="00621B97" w:rsidP="00621B97">
            <w:pPr>
              <w:spacing w:beforeLines="60" w:before="144"/>
              <w:jc w:val="both"/>
            </w:pPr>
            <w:r>
              <w:t>5</w:t>
            </w:r>
          </w:p>
        </w:tc>
        <w:tc>
          <w:tcPr>
            <w:tcW w:w="812" w:type="pct"/>
            <w:tcBorders>
              <w:top w:val="single" w:sz="4" w:space="0" w:color="auto"/>
              <w:left w:val="single" w:sz="4" w:space="0" w:color="auto"/>
              <w:bottom w:val="single" w:sz="4" w:space="0" w:color="auto"/>
              <w:right w:val="single" w:sz="4" w:space="0" w:color="auto"/>
            </w:tcBorders>
          </w:tcPr>
          <w:p w14:paraId="3E6FA9F2" w14:textId="1438ED9D" w:rsidR="00621B97" w:rsidRPr="00CA25CE" w:rsidRDefault="00621B97" w:rsidP="00621B97">
            <w:pPr>
              <w:spacing w:beforeLines="60" w:before="144"/>
              <w:jc w:val="both"/>
            </w:pPr>
            <w:r>
              <w:t>Technical specifications o</w:t>
            </w:r>
            <w:r w:rsidR="00BA4DFA">
              <w:t>f the commissioning authority, S</w:t>
            </w:r>
            <w:r>
              <w:t>ection No 10</w:t>
            </w:r>
          </w:p>
        </w:tc>
        <w:tc>
          <w:tcPr>
            <w:tcW w:w="1992" w:type="pct"/>
            <w:tcBorders>
              <w:top w:val="single" w:sz="4" w:space="0" w:color="auto"/>
              <w:left w:val="single" w:sz="4" w:space="0" w:color="auto"/>
              <w:bottom w:val="single" w:sz="4" w:space="0" w:color="auto"/>
              <w:right w:val="single" w:sz="4" w:space="0" w:color="auto"/>
            </w:tcBorders>
          </w:tcPr>
          <w:p w14:paraId="5CD78347" w14:textId="77777777" w:rsidR="00621B97" w:rsidRPr="00CA25CE" w:rsidRDefault="00621B97" w:rsidP="00621B97">
            <w:pPr>
              <w:autoSpaceDE w:val="0"/>
              <w:autoSpaceDN w:val="0"/>
              <w:adjustRightInd w:val="0"/>
              <w:jc w:val="both"/>
              <w:rPr>
                <w:bCs/>
                <w:i/>
              </w:rPr>
            </w:pPr>
            <w:r>
              <w:rPr>
                <w:i/>
              </w:rPr>
              <w:t>10 Maintaining and updating of the Platform content</w:t>
            </w:r>
          </w:p>
          <w:p w14:paraId="52D416E1" w14:textId="77777777" w:rsidR="00621B97" w:rsidRPr="00CA25CE" w:rsidRDefault="00621B97" w:rsidP="00621B97">
            <w:pPr>
              <w:autoSpaceDE w:val="0"/>
              <w:autoSpaceDN w:val="0"/>
              <w:adjustRightInd w:val="0"/>
              <w:jc w:val="both"/>
              <w:rPr>
                <w:bCs/>
                <w:i/>
              </w:rPr>
            </w:pPr>
            <w:r>
              <w:rPr>
                <w:i/>
              </w:rPr>
              <w:t>2</w:t>
            </w:r>
            <w:r>
              <w:tab/>
            </w:r>
            <w:r>
              <w:rPr>
                <w:i/>
              </w:rPr>
              <w:t>The Supplier ensures publication content conversion from at least .pdf, .docx, .indd, .html formats to ePub 2.0 format and/or ePub 3.0 format.</w:t>
            </w:r>
          </w:p>
          <w:p w14:paraId="2D7E98A5" w14:textId="2364C53C" w:rsidR="00621B97" w:rsidRPr="00CA25CE" w:rsidRDefault="00621B97" w:rsidP="00DF53C2">
            <w:pPr>
              <w:autoSpaceDE w:val="0"/>
              <w:autoSpaceDN w:val="0"/>
              <w:adjustRightInd w:val="0"/>
              <w:spacing w:beforeLines="60" w:before="144"/>
              <w:jc w:val="both"/>
            </w:pPr>
            <w:r>
              <w:rPr>
                <w:b/>
                <w:u w:val="single"/>
              </w:rPr>
              <w:t>Question No 4</w:t>
            </w:r>
            <w:r>
              <w:t xml:space="preserve">: Is it planned that the conversion from the submitted content to the formats ePub 2.0 or ePub 3.0 involve such initial formats </w:t>
            </w:r>
            <w:r w:rsidR="00DF53C2">
              <w:t xml:space="preserve">as </w:t>
            </w:r>
            <w:r>
              <w:t>image</w:t>
            </w:r>
            <w:r w:rsidR="00DF53C2">
              <w:t>s</w:t>
            </w:r>
            <w:r>
              <w:t xml:space="preserve"> of the unknown scanned content of the book that the Supplier has to convert to the text formats ePub 2.0 or ePub 3.0?</w:t>
            </w:r>
          </w:p>
        </w:tc>
        <w:tc>
          <w:tcPr>
            <w:tcW w:w="1900" w:type="pct"/>
            <w:tcBorders>
              <w:top w:val="single" w:sz="4" w:space="0" w:color="auto"/>
              <w:left w:val="single" w:sz="4" w:space="0" w:color="auto"/>
              <w:bottom w:val="single" w:sz="4" w:space="0" w:color="auto"/>
              <w:right w:val="single" w:sz="4" w:space="0" w:color="auto"/>
            </w:tcBorders>
          </w:tcPr>
          <w:p w14:paraId="6CB2C2C9" w14:textId="153C830B" w:rsidR="00621B97" w:rsidRPr="004D6E3B" w:rsidRDefault="00621B97" w:rsidP="00621B97">
            <w:pPr>
              <w:autoSpaceDE w:val="0"/>
              <w:autoSpaceDN w:val="0"/>
              <w:adjustRightInd w:val="0"/>
              <w:spacing w:beforeLines="60" w:before="144"/>
              <w:jc w:val="both"/>
            </w:pPr>
            <w:r>
              <w:t>It is not planned t</w:t>
            </w:r>
            <w:r w:rsidR="00DF53C2">
              <w:t>o convert scanned content of a</w:t>
            </w:r>
            <w:r>
              <w:t xml:space="preserve"> book to the formats ePub 2.0 or ePub 3.0. It is planned to publish items consisting images of the unknown scanned content as pdf files in the Platform. </w:t>
            </w:r>
          </w:p>
          <w:p w14:paraId="20E798D9" w14:textId="5A1DEBEE" w:rsidR="00621B97" w:rsidRPr="004D6E3B" w:rsidRDefault="00621B97" w:rsidP="00621B97">
            <w:pPr>
              <w:autoSpaceDE w:val="0"/>
              <w:autoSpaceDN w:val="0"/>
              <w:adjustRightInd w:val="0"/>
              <w:spacing w:beforeLines="60" w:before="144"/>
              <w:jc w:val="both"/>
            </w:pPr>
            <w:r>
              <w:t>The conversion to the formats ePub 2.0 or ePub 3.0. will involve only the documents with the content of good quality or the documents, where it is possibl</w:t>
            </w:r>
            <w:r w:rsidR="00DF53C2">
              <w:t>e</w:t>
            </w:r>
            <w:r>
              <w:t xml:space="preserve"> to edit or copy their content. </w:t>
            </w:r>
          </w:p>
          <w:p w14:paraId="2C7204A2" w14:textId="77777777" w:rsidR="00621B97" w:rsidRPr="00CA25CE" w:rsidRDefault="00621B97" w:rsidP="00621B97">
            <w:pPr>
              <w:autoSpaceDE w:val="0"/>
              <w:autoSpaceDN w:val="0"/>
              <w:adjustRightInd w:val="0"/>
              <w:jc w:val="both"/>
              <w:rPr>
                <w:bCs/>
                <w:i/>
              </w:rPr>
            </w:pPr>
          </w:p>
        </w:tc>
      </w:tr>
      <w:tr w:rsidR="00621B97" w:rsidRPr="00621B97" w14:paraId="314E0DED" w14:textId="77777777" w:rsidTr="00CA25CE">
        <w:tc>
          <w:tcPr>
            <w:tcW w:w="296" w:type="pct"/>
            <w:tcBorders>
              <w:top w:val="single" w:sz="4" w:space="0" w:color="auto"/>
              <w:left w:val="single" w:sz="4" w:space="0" w:color="auto"/>
              <w:bottom w:val="single" w:sz="4" w:space="0" w:color="auto"/>
              <w:right w:val="single" w:sz="4" w:space="0" w:color="auto"/>
            </w:tcBorders>
          </w:tcPr>
          <w:p w14:paraId="05DABEA3" w14:textId="77777777" w:rsidR="00621B97" w:rsidRPr="00CA25CE" w:rsidRDefault="00621B97" w:rsidP="00621B97">
            <w:pPr>
              <w:spacing w:beforeLines="60" w:before="144"/>
            </w:pPr>
            <w:r>
              <w:lastRenderedPageBreak/>
              <w:t>6</w:t>
            </w:r>
          </w:p>
        </w:tc>
        <w:tc>
          <w:tcPr>
            <w:tcW w:w="812" w:type="pct"/>
            <w:tcBorders>
              <w:top w:val="single" w:sz="4" w:space="0" w:color="auto"/>
              <w:left w:val="single" w:sz="4" w:space="0" w:color="auto"/>
              <w:bottom w:val="single" w:sz="4" w:space="0" w:color="auto"/>
              <w:right w:val="single" w:sz="4" w:space="0" w:color="auto"/>
            </w:tcBorders>
          </w:tcPr>
          <w:p w14:paraId="33D01E26" w14:textId="77777777" w:rsidR="00621B97" w:rsidRPr="00CA25CE" w:rsidRDefault="00621B97" w:rsidP="00621B97">
            <w:pPr>
              <w:spacing w:beforeLines="60" w:before="144"/>
            </w:pPr>
            <w:r>
              <w:t xml:space="preserve">Technical specifications of the commissioning authority </w:t>
            </w:r>
          </w:p>
          <w:p w14:paraId="522174B7" w14:textId="77777777" w:rsidR="00621B97" w:rsidRPr="00CA25CE" w:rsidRDefault="00621B97" w:rsidP="00621B97">
            <w:pPr>
              <w:spacing w:beforeLines="60" w:before="144"/>
            </w:pPr>
            <w:r>
              <w:t>III Terms of the Contract</w:t>
            </w:r>
          </w:p>
        </w:tc>
        <w:tc>
          <w:tcPr>
            <w:tcW w:w="1992" w:type="pct"/>
            <w:tcBorders>
              <w:top w:val="single" w:sz="4" w:space="0" w:color="auto"/>
              <w:left w:val="single" w:sz="4" w:space="0" w:color="auto"/>
              <w:bottom w:val="single" w:sz="4" w:space="0" w:color="auto"/>
              <w:right w:val="single" w:sz="4" w:space="0" w:color="auto"/>
            </w:tcBorders>
          </w:tcPr>
          <w:p w14:paraId="6887734F" w14:textId="77777777" w:rsidR="00621B97" w:rsidRPr="00CA25CE" w:rsidRDefault="00621B97" w:rsidP="00621B97">
            <w:pPr>
              <w:autoSpaceDE w:val="0"/>
              <w:autoSpaceDN w:val="0"/>
              <w:adjustRightInd w:val="0"/>
              <w:jc w:val="both"/>
              <w:rPr>
                <w:bCs/>
                <w:i/>
              </w:rPr>
            </w:pPr>
            <w:r>
              <w:rPr>
                <w:i/>
              </w:rPr>
              <w:t xml:space="preserve">Reviewing the Terms of the Contract the Tenderer does not understand, how exactly it is planned to limit the liability of the Parties. </w:t>
            </w:r>
          </w:p>
          <w:p w14:paraId="2F5F8DF1" w14:textId="77777777" w:rsidR="00621B97" w:rsidRPr="00CA25CE" w:rsidRDefault="00621B97" w:rsidP="00621B97">
            <w:pPr>
              <w:autoSpaceDE w:val="0"/>
              <w:autoSpaceDN w:val="0"/>
              <w:adjustRightInd w:val="0"/>
              <w:spacing w:beforeLines="60" w:before="144"/>
              <w:jc w:val="both"/>
            </w:pPr>
            <w:r>
              <w:rPr>
                <w:b/>
                <w:u w:val="single"/>
              </w:rPr>
              <w:t>Question No 5</w:t>
            </w:r>
            <w:r>
              <w:t>: Do we understand it correctly, that the direct loss of the parties according to this contract (Section 3.3) are limited to 10% of the sum of main liability and the parties do not have any responsibility regarding indirect loss? And according to the Civil Code it does not involve cases, where the loss results from the illegal conduct (act or omission) of the Party caused by bad intentions or gross negligence?</w:t>
            </w:r>
          </w:p>
          <w:p w14:paraId="7FD53422" w14:textId="77777777" w:rsidR="00621B97" w:rsidRPr="00CA25CE" w:rsidRDefault="00621B97" w:rsidP="00621B97">
            <w:pPr>
              <w:autoSpaceDE w:val="0"/>
              <w:autoSpaceDN w:val="0"/>
              <w:adjustRightInd w:val="0"/>
              <w:jc w:val="both"/>
            </w:pPr>
            <w:r>
              <w:t xml:space="preserve"> According to the good practice of the information technology, the maximal possible loss is clearly stated in the contracts, because this information is essential for assessing the project risks and calculating the price of the tender.</w:t>
            </w:r>
          </w:p>
        </w:tc>
        <w:tc>
          <w:tcPr>
            <w:tcW w:w="1900" w:type="pct"/>
            <w:tcBorders>
              <w:top w:val="single" w:sz="4" w:space="0" w:color="auto"/>
              <w:left w:val="single" w:sz="4" w:space="0" w:color="auto"/>
              <w:bottom w:val="single" w:sz="4" w:space="0" w:color="auto"/>
              <w:right w:val="single" w:sz="4" w:space="0" w:color="auto"/>
            </w:tcBorders>
          </w:tcPr>
          <w:p w14:paraId="313DF789" w14:textId="3D21F5F5" w:rsidR="00621B97" w:rsidRPr="00CA25CE" w:rsidRDefault="00621B97" w:rsidP="00621B97">
            <w:pPr>
              <w:autoSpaceDE w:val="0"/>
              <w:autoSpaceDN w:val="0"/>
              <w:adjustRightInd w:val="0"/>
              <w:jc w:val="both"/>
              <w:rPr>
                <w:bCs/>
              </w:rPr>
            </w:pPr>
            <w:r>
              <w:t xml:space="preserve">According to the Section 1716 of the Civil Code, </w:t>
            </w:r>
            <w:r>
              <w:rPr>
                <w:u w:val="single"/>
              </w:rPr>
              <w:t>p</w:t>
            </w:r>
            <w:r>
              <w:rPr>
                <w:u w:val="single"/>
                <w:shd w:val="clear" w:color="auto" w:fill="FFFFFF"/>
              </w:rPr>
              <w:t>enalty</w:t>
            </w:r>
            <w:r>
              <w:rPr>
                <w:shd w:val="clear" w:color="auto" w:fill="FFFFFF"/>
              </w:rPr>
              <w:t xml:space="preserve"> in the event of incomplete performance of the contractual obligations or inability to perform them within the indicated deadline, can be growing but should not exceed 10% from the principal sum or the sum of main liability; therefore it is included under Section 3.3 of the Terms of the Contract.</w:t>
            </w:r>
            <w:r>
              <w:t xml:space="preserve"> The provisions may be updated without prejudice to the rights of the Commissio</w:t>
            </w:r>
            <w:r w:rsidR="00DF53C2">
              <w:t xml:space="preserve">ning authority indicated in </w:t>
            </w:r>
            <w:r>
              <w:t>Sectio</w:t>
            </w:r>
            <w:r w:rsidR="00DF53C2">
              <w:t>n III "Terms of the Contract" of</w:t>
            </w:r>
            <w:r>
              <w:t xml:space="preserve"> the technical specifications and will be agreed before concluding the contract.  </w:t>
            </w:r>
          </w:p>
        </w:tc>
      </w:tr>
    </w:tbl>
    <w:p w14:paraId="1A78F7B2" w14:textId="77777777" w:rsidR="00C460CB" w:rsidRPr="001B3A71" w:rsidRDefault="00C460CB" w:rsidP="0085570F">
      <w:pPr>
        <w:rPr>
          <w:rFonts w:ascii="Book Antiqua" w:hAnsi="Book Antiqua"/>
          <w:sz w:val="22"/>
          <w:szCs w:val="22"/>
          <w:u w:val="single"/>
        </w:rPr>
      </w:pPr>
    </w:p>
    <w:sectPr w:rsidR="00C460CB" w:rsidRPr="001B3A71" w:rsidSect="00E614FC">
      <w:pgSz w:w="11906" w:h="16838" w:code="9"/>
      <w:pgMar w:top="1134" w:right="1134" w:bottom="1135"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9AB2" w14:textId="77777777" w:rsidR="00057EFC" w:rsidRDefault="00057EFC">
      <w:r>
        <w:separator/>
      </w:r>
    </w:p>
  </w:endnote>
  <w:endnote w:type="continuationSeparator" w:id="0">
    <w:p w14:paraId="0320B855" w14:textId="77777777" w:rsidR="00057EFC" w:rsidRDefault="0005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Body text">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ACAA9" w14:textId="77777777" w:rsidR="00057EFC" w:rsidRDefault="00057EFC">
      <w:r>
        <w:separator/>
      </w:r>
    </w:p>
  </w:footnote>
  <w:footnote w:type="continuationSeparator" w:id="0">
    <w:p w14:paraId="51BDBF8D" w14:textId="77777777" w:rsidR="00057EFC" w:rsidRDefault="00057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5A0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02E18C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268110C"/>
    <w:multiLevelType w:val="hybridMultilevel"/>
    <w:tmpl w:val="7FE4D01A"/>
    <w:lvl w:ilvl="0" w:tplc="364C5C6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29E5"/>
    <w:multiLevelType w:val="hybridMultilevel"/>
    <w:tmpl w:val="403E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1613"/>
    <w:multiLevelType w:val="hybridMultilevel"/>
    <w:tmpl w:val="EE8C3414"/>
    <w:lvl w:ilvl="0" w:tplc="0409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1FB87DF2"/>
    <w:multiLevelType w:val="hybridMultilevel"/>
    <w:tmpl w:val="DB8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C3D9F"/>
    <w:multiLevelType w:val="hybridMultilevel"/>
    <w:tmpl w:val="4F329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F8284B"/>
    <w:multiLevelType w:val="hybridMultilevel"/>
    <w:tmpl w:val="DB8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231A1"/>
    <w:multiLevelType w:val="hybridMultilevel"/>
    <w:tmpl w:val="39AE38C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FE2FCE"/>
    <w:multiLevelType w:val="hybridMultilevel"/>
    <w:tmpl w:val="C562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B7668"/>
    <w:multiLevelType w:val="hybridMultilevel"/>
    <w:tmpl w:val="403E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939B2"/>
    <w:multiLevelType w:val="hybridMultilevel"/>
    <w:tmpl w:val="C562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86014"/>
    <w:multiLevelType w:val="hybridMultilevel"/>
    <w:tmpl w:val="E98E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765BC"/>
    <w:multiLevelType w:val="hybridMultilevel"/>
    <w:tmpl w:val="41885B82"/>
    <w:lvl w:ilvl="0" w:tplc="2132FAF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13"/>
  </w:num>
  <w:num w:numId="6">
    <w:abstractNumId w:val="12"/>
  </w:num>
  <w:num w:numId="7">
    <w:abstractNumId w:val="11"/>
  </w:num>
  <w:num w:numId="8">
    <w:abstractNumId w:val="3"/>
  </w:num>
  <w:num w:numId="9">
    <w:abstractNumId w:val="10"/>
  </w:num>
  <w:num w:numId="10">
    <w:abstractNumId w:val="9"/>
  </w:num>
  <w:num w:numId="11">
    <w:abstractNumId w:val="0"/>
  </w:num>
  <w:num w:numId="12">
    <w:abstractNumId w:val="4"/>
  </w:num>
  <w:num w:numId="13">
    <w:abstractNumId w:val="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1"/>
    <w:rsid w:val="0000166C"/>
    <w:rsid w:val="00002145"/>
    <w:rsid w:val="00003B99"/>
    <w:rsid w:val="00003D6D"/>
    <w:rsid w:val="00005C1D"/>
    <w:rsid w:val="00012D06"/>
    <w:rsid w:val="00042E36"/>
    <w:rsid w:val="000504C8"/>
    <w:rsid w:val="00052BC5"/>
    <w:rsid w:val="00057EFC"/>
    <w:rsid w:val="0006364B"/>
    <w:rsid w:val="00063CBB"/>
    <w:rsid w:val="0006466D"/>
    <w:rsid w:val="00064BC5"/>
    <w:rsid w:val="00065740"/>
    <w:rsid w:val="00067FCB"/>
    <w:rsid w:val="00071A40"/>
    <w:rsid w:val="00072F8F"/>
    <w:rsid w:val="00075C48"/>
    <w:rsid w:val="00077B33"/>
    <w:rsid w:val="00081A31"/>
    <w:rsid w:val="000858A7"/>
    <w:rsid w:val="00086D48"/>
    <w:rsid w:val="0009020B"/>
    <w:rsid w:val="00090BA7"/>
    <w:rsid w:val="00095CCA"/>
    <w:rsid w:val="00097445"/>
    <w:rsid w:val="000A19B6"/>
    <w:rsid w:val="000A5EC0"/>
    <w:rsid w:val="000B28D2"/>
    <w:rsid w:val="000C450B"/>
    <w:rsid w:val="000C4888"/>
    <w:rsid w:val="000D158C"/>
    <w:rsid w:val="000D1721"/>
    <w:rsid w:val="000D5806"/>
    <w:rsid w:val="000E183F"/>
    <w:rsid w:val="000F068E"/>
    <w:rsid w:val="000F088E"/>
    <w:rsid w:val="000F5600"/>
    <w:rsid w:val="00110534"/>
    <w:rsid w:val="00110AF0"/>
    <w:rsid w:val="0011297F"/>
    <w:rsid w:val="00113F21"/>
    <w:rsid w:val="00114495"/>
    <w:rsid w:val="0012002B"/>
    <w:rsid w:val="00122587"/>
    <w:rsid w:val="00126422"/>
    <w:rsid w:val="00126A31"/>
    <w:rsid w:val="00131C09"/>
    <w:rsid w:val="00136233"/>
    <w:rsid w:val="0014493F"/>
    <w:rsid w:val="00145A06"/>
    <w:rsid w:val="00146446"/>
    <w:rsid w:val="001501B4"/>
    <w:rsid w:val="001638A9"/>
    <w:rsid w:val="0018590E"/>
    <w:rsid w:val="001862B1"/>
    <w:rsid w:val="00187CC2"/>
    <w:rsid w:val="001939FE"/>
    <w:rsid w:val="00193EAF"/>
    <w:rsid w:val="001A17B6"/>
    <w:rsid w:val="001B0937"/>
    <w:rsid w:val="001B3A71"/>
    <w:rsid w:val="001B6A3C"/>
    <w:rsid w:val="001C0B4E"/>
    <w:rsid w:val="001C358E"/>
    <w:rsid w:val="001D4F90"/>
    <w:rsid w:val="001D7457"/>
    <w:rsid w:val="001D7AAA"/>
    <w:rsid w:val="001E01E3"/>
    <w:rsid w:val="001E2B94"/>
    <w:rsid w:val="001E473B"/>
    <w:rsid w:val="001E476B"/>
    <w:rsid w:val="001F4D5A"/>
    <w:rsid w:val="001F6C42"/>
    <w:rsid w:val="001F7A5F"/>
    <w:rsid w:val="00203A70"/>
    <w:rsid w:val="002048D3"/>
    <w:rsid w:val="00204A4E"/>
    <w:rsid w:val="002113F8"/>
    <w:rsid w:val="0021357A"/>
    <w:rsid w:val="00220820"/>
    <w:rsid w:val="0022787B"/>
    <w:rsid w:val="002320F9"/>
    <w:rsid w:val="00232C28"/>
    <w:rsid w:val="002448B7"/>
    <w:rsid w:val="00246626"/>
    <w:rsid w:val="00250072"/>
    <w:rsid w:val="002634DA"/>
    <w:rsid w:val="002650F8"/>
    <w:rsid w:val="00267FEB"/>
    <w:rsid w:val="00272BC6"/>
    <w:rsid w:val="002775B8"/>
    <w:rsid w:val="00294FE0"/>
    <w:rsid w:val="002A00D4"/>
    <w:rsid w:val="002A2BA1"/>
    <w:rsid w:val="002A67F9"/>
    <w:rsid w:val="002B1AB8"/>
    <w:rsid w:val="002B3292"/>
    <w:rsid w:val="002B6CA9"/>
    <w:rsid w:val="002B785C"/>
    <w:rsid w:val="002C044F"/>
    <w:rsid w:val="002C7D75"/>
    <w:rsid w:val="002D1888"/>
    <w:rsid w:val="002D3773"/>
    <w:rsid w:val="002E746B"/>
    <w:rsid w:val="002E7DE7"/>
    <w:rsid w:val="002F0DDD"/>
    <w:rsid w:val="00304917"/>
    <w:rsid w:val="00310FFC"/>
    <w:rsid w:val="003142DB"/>
    <w:rsid w:val="003208BE"/>
    <w:rsid w:val="00326AB4"/>
    <w:rsid w:val="00327F20"/>
    <w:rsid w:val="00333B0F"/>
    <w:rsid w:val="003358F5"/>
    <w:rsid w:val="00336EA9"/>
    <w:rsid w:val="003438B4"/>
    <w:rsid w:val="003451A1"/>
    <w:rsid w:val="0034558C"/>
    <w:rsid w:val="003462ED"/>
    <w:rsid w:val="0034685A"/>
    <w:rsid w:val="00347BCF"/>
    <w:rsid w:val="00352DA0"/>
    <w:rsid w:val="0035575C"/>
    <w:rsid w:val="00367B1E"/>
    <w:rsid w:val="00367B39"/>
    <w:rsid w:val="003729A7"/>
    <w:rsid w:val="00380951"/>
    <w:rsid w:val="00382E22"/>
    <w:rsid w:val="00394038"/>
    <w:rsid w:val="003A12B2"/>
    <w:rsid w:val="003A14D6"/>
    <w:rsid w:val="003A3F34"/>
    <w:rsid w:val="003B03D8"/>
    <w:rsid w:val="003B1A7B"/>
    <w:rsid w:val="003C2183"/>
    <w:rsid w:val="003C3CF3"/>
    <w:rsid w:val="003D08AF"/>
    <w:rsid w:val="003D596C"/>
    <w:rsid w:val="003D716B"/>
    <w:rsid w:val="003E2DBC"/>
    <w:rsid w:val="003E38C6"/>
    <w:rsid w:val="003E5E0E"/>
    <w:rsid w:val="003F5904"/>
    <w:rsid w:val="004061D6"/>
    <w:rsid w:val="004157A7"/>
    <w:rsid w:val="00421897"/>
    <w:rsid w:val="004323A5"/>
    <w:rsid w:val="00446B31"/>
    <w:rsid w:val="0045213C"/>
    <w:rsid w:val="004535E6"/>
    <w:rsid w:val="00454D56"/>
    <w:rsid w:val="00460000"/>
    <w:rsid w:val="00467BE9"/>
    <w:rsid w:val="0047661C"/>
    <w:rsid w:val="00477D5D"/>
    <w:rsid w:val="00483545"/>
    <w:rsid w:val="004854F6"/>
    <w:rsid w:val="004A0141"/>
    <w:rsid w:val="004A5FFE"/>
    <w:rsid w:val="004A624F"/>
    <w:rsid w:val="004A74E8"/>
    <w:rsid w:val="004B39F0"/>
    <w:rsid w:val="004B7C53"/>
    <w:rsid w:val="004C04D7"/>
    <w:rsid w:val="004C7FA7"/>
    <w:rsid w:val="004D237C"/>
    <w:rsid w:val="004D520C"/>
    <w:rsid w:val="004D772F"/>
    <w:rsid w:val="004D7862"/>
    <w:rsid w:val="004E4E6F"/>
    <w:rsid w:val="004F0951"/>
    <w:rsid w:val="004F2924"/>
    <w:rsid w:val="00501769"/>
    <w:rsid w:val="005231D0"/>
    <w:rsid w:val="005278E7"/>
    <w:rsid w:val="00527B26"/>
    <w:rsid w:val="00533C50"/>
    <w:rsid w:val="005344FE"/>
    <w:rsid w:val="00535443"/>
    <w:rsid w:val="00536913"/>
    <w:rsid w:val="00542000"/>
    <w:rsid w:val="005428D8"/>
    <w:rsid w:val="0054316E"/>
    <w:rsid w:val="00543833"/>
    <w:rsid w:val="00544CAB"/>
    <w:rsid w:val="0054600C"/>
    <w:rsid w:val="00546546"/>
    <w:rsid w:val="00554171"/>
    <w:rsid w:val="00556EFC"/>
    <w:rsid w:val="00563964"/>
    <w:rsid w:val="00564E24"/>
    <w:rsid w:val="005808AE"/>
    <w:rsid w:val="00580C4E"/>
    <w:rsid w:val="00582507"/>
    <w:rsid w:val="00583BD8"/>
    <w:rsid w:val="0058502C"/>
    <w:rsid w:val="00591408"/>
    <w:rsid w:val="005939C8"/>
    <w:rsid w:val="0059605C"/>
    <w:rsid w:val="005960B6"/>
    <w:rsid w:val="005A08E8"/>
    <w:rsid w:val="005B06FE"/>
    <w:rsid w:val="005B4DF9"/>
    <w:rsid w:val="005B4F37"/>
    <w:rsid w:val="005B606F"/>
    <w:rsid w:val="005B6D18"/>
    <w:rsid w:val="005C341C"/>
    <w:rsid w:val="005C3C73"/>
    <w:rsid w:val="005D29DB"/>
    <w:rsid w:val="005E4A7D"/>
    <w:rsid w:val="005F6F74"/>
    <w:rsid w:val="00603AE0"/>
    <w:rsid w:val="006053CC"/>
    <w:rsid w:val="00606517"/>
    <w:rsid w:val="00607697"/>
    <w:rsid w:val="00617A9F"/>
    <w:rsid w:val="006208DC"/>
    <w:rsid w:val="0062150B"/>
    <w:rsid w:val="00621B97"/>
    <w:rsid w:val="00626A21"/>
    <w:rsid w:val="0063000E"/>
    <w:rsid w:val="00632FB7"/>
    <w:rsid w:val="00637ACB"/>
    <w:rsid w:val="00640C8E"/>
    <w:rsid w:val="00644612"/>
    <w:rsid w:val="006461B4"/>
    <w:rsid w:val="00653597"/>
    <w:rsid w:val="00657C94"/>
    <w:rsid w:val="006639E3"/>
    <w:rsid w:val="006719B9"/>
    <w:rsid w:val="00673440"/>
    <w:rsid w:val="0067512F"/>
    <w:rsid w:val="006754B7"/>
    <w:rsid w:val="00675930"/>
    <w:rsid w:val="00675A32"/>
    <w:rsid w:val="00676D9F"/>
    <w:rsid w:val="00682317"/>
    <w:rsid w:val="00682D62"/>
    <w:rsid w:val="0068366C"/>
    <w:rsid w:val="00683FCD"/>
    <w:rsid w:val="00692D35"/>
    <w:rsid w:val="00694391"/>
    <w:rsid w:val="006A6D2C"/>
    <w:rsid w:val="006B0E52"/>
    <w:rsid w:val="006B366C"/>
    <w:rsid w:val="006C4CBB"/>
    <w:rsid w:val="006D3DCD"/>
    <w:rsid w:val="006E0F76"/>
    <w:rsid w:val="006E2E31"/>
    <w:rsid w:val="006E425F"/>
    <w:rsid w:val="006E55EC"/>
    <w:rsid w:val="006E6DD6"/>
    <w:rsid w:val="00706551"/>
    <w:rsid w:val="00706D79"/>
    <w:rsid w:val="00707165"/>
    <w:rsid w:val="00710049"/>
    <w:rsid w:val="007248FF"/>
    <w:rsid w:val="00727E70"/>
    <w:rsid w:val="00733DE2"/>
    <w:rsid w:val="00737AA9"/>
    <w:rsid w:val="00744228"/>
    <w:rsid w:val="00745EE3"/>
    <w:rsid w:val="00756DA0"/>
    <w:rsid w:val="00757DA2"/>
    <w:rsid w:val="00760FFD"/>
    <w:rsid w:val="00761468"/>
    <w:rsid w:val="00766224"/>
    <w:rsid w:val="00771EB1"/>
    <w:rsid w:val="007726D9"/>
    <w:rsid w:val="00780878"/>
    <w:rsid w:val="00790353"/>
    <w:rsid w:val="007916B9"/>
    <w:rsid w:val="00793002"/>
    <w:rsid w:val="007A6D0F"/>
    <w:rsid w:val="007B1204"/>
    <w:rsid w:val="007B7631"/>
    <w:rsid w:val="007C192D"/>
    <w:rsid w:val="007C3A96"/>
    <w:rsid w:val="007C4862"/>
    <w:rsid w:val="007E1756"/>
    <w:rsid w:val="007E4A31"/>
    <w:rsid w:val="007E6766"/>
    <w:rsid w:val="007E695C"/>
    <w:rsid w:val="007F65E8"/>
    <w:rsid w:val="008019EE"/>
    <w:rsid w:val="00802B4A"/>
    <w:rsid w:val="0081299C"/>
    <w:rsid w:val="00821A0F"/>
    <w:rsid w:val="0082660D"/>
    <w:rsid w:val="0083799E"/>
    <w:rsid w:val="0084103C"/>
    <w:rsid w:val="008428E3"/>
    <w:rsid w:val="008474F7"/>
    <w:rsid w:val="00853BB1"/>
    <w:rsid w:val="0085570F"/>
    <w:rsid w:val="008565CF"/>
    <w:rsid w:val="00856D7B"/>
    <w:rsid w:val="008613A0"/>
    <w:rsid w:val="00885025"/>
    <w:rsid w:val="0089278B"/>
    <w:rsid w:val="008A4696"/>
    <w:rsid w:val="008A4CF8"/>
    <w:rsid w:val="008A6C6D"/>
    <w:rsid w:val="008B02AB"/>
    <w:rsid w:val="008B6760"/>
    <w:rsid w:val="008C6516"/>
    <w:rsid w:val="008D3238"/>
    <w:rsid w:val="008D3E65"/>
    <w:rsid w:val="008F0113"/>
    <w:rsid w:val="008F06AC"/>
    <w:rsid w:val="008F3FBB"/>
    <w:rsid w:val="008F654A"/>
    <w:rsid w:val="008F71BE"/>
    <w:rsid w:val="008F72B1"/>
    <w:rsid w:val="008F7C41"/>
    <w:rsid w:val="0090386B"/>
    <w:rsid w:val="009070BB"/>
    <w:rsid w:val="00907151"/>
    <w:rsid w:val="0091058D"/>
    <w:rsid w:val="00912D74"/>
    <w:rsid w:val="00913129"/>
    <w:rsid w:val="00925334"/>
    <w:rsid w:val="00926A52"/>
    <w:rsid w:val="00930540"/>
    <w:rsid w:val="00947696"/>
    <w:rsid w:val="009478AF"/>
    <w:rsid w:val="009576AB"/>
    <w:rsid w:val="00962532"/>
    <w:rsid w:val="00971FA7"/>
    <w:rsid w:val="0097580F"/>
    <w:rsid w:val="00976B24"/>
    <w:rsid w:val="0098257E"/>
    <w:rsid w:val="00986D27"/>
    <w:rsid w:val="009A1264"/>
    <w:rsid w:val="009A1B73"/>
    <w:rsid w:val="009B02BA"/>
    <w:rsid w:val="009B36C3"/>
    <w:rsid w:val="009B530B"/>
    <w:rsid w:val="009B7BC6"/>
    <w:rsid w:val="009C06F1"/>
    <w:rsid w:val="009C1C68"/>
    <w:rsid w:val="009C2523"/>
    <w:rsid w:val="009C43B5"/>
    <w:rsid w:val="009C4CF5"/>
    <w:rsid w:val="009D23FB"/>
    <w:rsid w:val="009D2856"/>
    <w:rsid w:val="009D358D"/>
    <w:rsid w:val="009D5AD0"/>
    <w:rsid w:val="009E5D6A"/>
    <w:rsid w:val="009E608E"/>
    <w:rsid w:val="009F0672"/>
    <w:rsid w:val="009F4CE2"/>
    <w:rsid w:val="009F4D97"/>
    <w:rsid w:val="00A01618"/>
    <w:rsid w:val="00A01F5E"/>
    <w:rsid w:val="00A1052B"/>
    <w:rsid w:val="00A11C11"/>
    <w:rsid w:val="00A1598E"/>
    <w:rsid w:val="00A236B4"/>
    <w:rsid w:val="00A23C76"/>
    <w:rsid w:val="00A267DD"/>
    <w:rsid w:val="00A60188"/>
    <w:rsid w:val="00A62670"/>
    <w:rsid w:val="00A62A20"/>
    <w:rsid w:val="00A6536B"/>
    <w:rsid w:val="00A66E5D"/>
    <w:rsid w:val="00A74B9C"/>
    <w:rsid w:val="00A76F33"/>
    <w:rsid w:val="00A77595"/>
    <w:rsid w:val="00A834FE"/>
    <w:rsid w:val="00A8571A"/>
    <w:rsid w:val="00A911D7"/>
    <w:rsid w:val="00A913A3"/>
    <w:rsid w:val="00AA0BCD"/>
    <w:rsid w:val="00AA1DB5"/>
    <w:rsid w:val="00AA79CD"/>
    <w:rsid w:val="00AA7F99"/>
    <w:rsid w:val="00AB12A5"/>
    <w:rsid w:val="00AB6458"/>
    <w:rsid w:val="00AD19CC"/>
    <w:rsid w:val="00AD60A7"/>
    <w:rsid w:val="00AD643C"/>
    <w:rsid w:val="00AD6860"/>
    <w:rsid w:val="00AE04F1"/>
    <w:rsid w:val="00AE3716"/>
    <w:rsid w:val="00AE38E3"/>
    <w:rsid w:val="00AE44B5"/>
    <w:rsid w:val="00AE6445"/>
    <w:rsid w:val="00B026AA"/>
    <w:rsid w:val="00B0657B"/>
    <w:rsid w:val="00B103D2"/>
    <w:rsid w:val="00B117E1"/>
    <w:rsid w:val="00B24F91"/>
    <w:rsid w:val="00B345DA"/>
    <w:rsid w:val="00B35C72"/>
    <w:rsid w:val="00B445E3"/>
    <w:rsid w:val="00B50D71"/>
    <w:rsid w:val="00B6261E"/>
    <w:rsid w:val="00B62BA1"/>
    <w:rsid w:val="00B65907"/>
    <w:rsid w:val="00B774AE"/>
    <w:rsid w:val="00B80742"/>
    <w:rsid w:val="00B8085B"/>
    <w:rsid w:val="00B80F63"/>
    <w:rsid w:val="00B84A93"/>
    <w:rsid w:val="00B92B9A"/>
    <w:rsid w:val="00BA4DFA"/>
    <w:rsid w:val="00BA6E11"/>
    <w:rsid w:val="00BB27C5"/>
    <w:rsid w:val="00BB3C39"/>
    <w:rsid w:val="00BB5EFD"/>
    <w:rsid w:val="00BC1F4F"/>
    <w:rsid w:val="00BC7A18"/>
    <w:rsid w:val="00BD4D8C"/>
    <w:rsid w:val="00BD5D6C"/>
    <w:rsid w:val="00BD7EEA"/>
    <w:rsid w:val="00BF519F"/>
    <w:rsid w:val="00C06614"/>
    <w:rsid w:val="00C06943"/>
    <w:rsid w:val="00C07956"/>
    <w:rsid w:val="00C07BC3"/>
    <w:rsid w:val="00C1774C"/>
    <w:rsid w:val="00C2014F"/>
    <w:rsid w:val="00C21A11"/>
    <w:rsid w:val="00C2232C"/>
    <w:rsid w:val="00C22357"/>
    <w:rsid w:val="00C2578B"/>
    <w:rsid w:val="00C338DB"/>
    <w:rsid w:val="00C3551C"/>
    <w:rsid w:val="00C4146E"/>
    <w:rsid w:val="00C460CB"/>
    <w:rsid w:val="00C477DB"/>
    <w:rsid w:val="00C566A8"/>
    <w:rsid w:val="00C622BD"/>
    <w:rsid w:val="00C62F15"/>
    <w:rsid w:val="00C73B23"/>
    <w:rsid w:val="00C74D48"/>
    <w:rsid w:val="00C75A6D"/>
    <w:rsid w:val="00C823EF"/>
    <w:rsid w:val="00CA1382"/>
    <w:rsid w:val="00CA25CE"/>
    <w:rsid w:val="00CA3542"/>
    <w:rsid w:val="00CB15A7"/>
    <w:rsid w:val="00CB19B1"/>
    <w:rsid w:val="00CB38FA"/>
    <w:rsid w:val="00CD35F7"/>
    <w:rsid w:val="00CE4A63"/>
    <w:rsid w:val="00CE7380"/>
    <w:rsid w:val="00CF1FAE"/>
    <w:rsid w:val="00D02D30"/>
    <w:rsid w:val="00D03395"/>
    <w:rsid w:val="00D04DF4"/>
    <w:rsid w:val="00D10677"/>
    <w:rsid w:val="00D126E8"/>
    <w:rsid w:val="00D16560"/>
    <w:rsid w:val="00D16903"/>
    <w:rsid w:val="00D25EDF"/>
    <w:rsid w:val="00D2693C"/>
    <w:rsid w:val="00D26974"/>
    <w:rsid w:val="00D40C4D"/>
    <w:rsid w:val="00D42921"/>
    <w:rsid w:val="00D4691C"/>
    <w:rsid w:val="00D51B4C"/>
    <w:rsid w:val="00D5365C"/>
    <w:rsid w:val="00D53AB3"/>
    <w:rsid w:val="00D6017E"/>
    <w:rsid w:val="00D64455"/>
    <w:rsid w:val="00D721F7"/>
    <w:rsid w:val="00D76E76"/>
    <w:rsid w:val="00D965C9"/>
    <w:rsid w:val="00DA1A6E"/>
    <w:rsid w:val="00DA6AF2"/>
    <w:rsid w:val="00DB41BA"/>
    <w:rsid w:val="00DC07A9"/>
    <w:rsid w:val="00DC1D50"/>
    <w:rsid w:val="00DC6D64"/>
    <w:rsid w:val="00DD5F03"/>
    <w:rsid w:val="00DE24E1"/>
    <w:rsid w:val="00DE49F7"/>
    <w:rsid w:val="00DE691F"/>
    <w:rsid w:val="00DE6D8B"/>
    <w:rsid w:val="00DE720B"/>
    <w:rsid w:val="00DF53C2"/>
    <w:rsid w:val="00E00CAA"/>
    <w:rsid w:val="00E01E67"/>
    <w:rsid w:val="00E01EFF"/>
    <w:rsid w:val="00E04F9D"/>
    <w:rsid w:val="00E06B10"/>
    <w:rsid w:val="00E11EE6"/>
    <w:rsid w:val="00E12788"/>
    <w:rsid w:val="00E15FB0"/>
    <w:rsid w:val="00E172F3"/>
    <w:rsid w:val="00E17E05"/>
    <w:rsid w:val="00E21A8A"/>
    <w:rsid w:val="00E23718"/>
    <w:rsid w:val="00E269FB"/>
    <w:rsid w:val="00E27449"/>
    <w:rsid w:val="00E32592"/>
    <w:rsid w:val="00E407F0"/>
    <w:rsid w:val="00E41BDE"/>
    <w:rsid w:val="00E42C80"/>
    <w:rsid w:val="00E56EC2"/>
    <w:rsid w:val="00E614FC"/>
    <w:rsid w:val="00E644E9"/>
    <w:rsid w:val="00E659F1"/>
    <w:rsid w:val="00E66170"/>
    <w:rsid w:val="00E72393"/>
    <w:rsid w:val="00E75083"/>
    <w:rsid w:val="00E878BA"/>
    <w:rsid w:val="00E93488"/>
    <w:rsid w:val="00E93D1E"/>
    <w:rsid w:val="00EA278F"/>
    <w:rsid w:val="00EA27B9"/>
    <w:rsid w:val="00EA5539"/>
    <w:rsid w:val="00EB479B"/>
    <w:rsid w:val="00EB5BEF"/>
    <w:rsid w:val="00EB66F4"/>
    <w:rsid w:val="00EC0A26"/>
    <w:rsid w:val="00EC1494"/>
    <w:rsid w:val="00EC5D9D"/>
    <w:rsid w:val="00ED68C2"/>
    <w:rsid w:val="00EE1377"/>
    <w:rsid w:val="00EE681E"/>
    <w:rsid w:val="00EE6EAE"/>
    <w:rsid w:val="00EF06B4"/>
    <w:rsid w:val="00EF1257"/>
    <w:rsid w:val="00EF2621"/>
    <w:rsid w:val="00EF7D2F"/>
    <w:rsid w:val="00F00E3B"/>
    <w:rsid w:val="00F01093"/>
    <w:rsid w:val="00F07678"/>
    <w:rsid w:val="00F11A97"/>
    <w:rsid w:val="00F21E11"/>
    <w:rsid w:val="00F26B5B"/>
    <w:rsid w:val="00F31983"/>
    <w:rsid w:val="00F32A22"/>
    <w:rsid w:val="00F37AD2"/>
    <w:rsid w:val="00F45F4D"/>
    <w:rsid w:val="00F52E4E"/>
    <w:rsid w:val="00F53428"/>
    <w:rsid w:val="00F547E8"/>
    <w:rsid w:val="00F56197"/>
    <w:rsid w:val="00F5680A"/>
    <w:rsid w:val="00F57FED"/>
    <w:rsid w:val="00F621BE"/>
    <w:rsid w:val="00F83913"/>
    <w:rsid w:val="00F85E24"/>
    <w:rsid w:val="00F91C82"/>
    <w:rsid w:val="00FA10D0"/>
    <w:rsid w:val="00FA1ADE"/>
    <w:rsid w:val="00FA2639"/>
    <w:rsid w:val="00FA4AEB"/>
    <w:rsid w:val="00FB129D"/>
    <w:rsid w:val="00FB3526"/>
    <w:rsid w:val="00FB3F26"/>
    <w:rsid w:val="00FD1BEC"/>
    <w:rsid w:val="00FE570F"/>
    <w:rsid w:val="00FE64AF"/>
    <w:rsid w:val="00FF100A"/>
    <w:rsid w:val="00FF3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Section Heading"/>
    <w:basedOn w:val="Normal"/>
    <w:next w:val="Normal"/>
    <w:qFormat/>
    <w:pPr>
      <w:keepNext/>
      <w:keepLines/>
      <w:pageBreakBefore/>
      <w:numPr>
        <w:numId w:val="1"/>
      </w:numPr>
      <w:pBdr>
        <w:top w:val="single" w:sz="48" w:space="1" w:color="auto"/>
      </w:pBdr>
      <w:overflowPunct w:val="0"/>
      <w:autoSpaceDE w:val="0"/>
      <w:autoSpaceDN w:val="0"/>
      <w:adjustRightInd w:val="0"/>
      <w:spacing w:before="240" w:after="240"/>
      <w:jc w:val="both"/>
      <w:textAlignment w:val="baseline"/>
      <w:outlineLvl w:val="0"/>
    </w:pPr>
    <w:rPr>
      <w:rFonts w:ascii="Book Antiqua" w:hAnsi="Book Antiqua"/>
      <w:b/>
      <w:kern w:val="28"/>
      <w:sz w:val="36"/>
      <w:szCs w:val="20"/>
    </w:rPr>
  </w:style>
  <w:style w:type="paragraph" w:styleId="Heading2">
    <w:name w:val="heading 2"/>
    <w:aliases w:val="Reset numbering"/>
    <w:basedOn w:val="Normal"/>
    <w:next w:val="Normal"/>
    <w:autoRedefine/>
    <w:qFormat/>
    <w:pPr>
      <w:keepNext/>
      <w:keepLines/>
      <w:numPr>
        <w:ilvl w:val="1"/>
        <w:numId w:val="1"/>
      </w:numPr>
      <w:overflowPunct w:val="0"/>
      <w:autoSpaceDE w:val="0"/>
      <w:autoSpaceDN w:val="0"/>
      <w:adjustRightInd w:val="0"/>
      <w:spacing w:before="240"/>
      <w:jc w:val="both"/>
      <w:textAlignment w:val="baseline"/>
      <w:outlineLvl w:val="1"/>
    </w:pPr>
    <w:rPr>
      <w:rFonts w:ascii="Arial" w:hAnsi="Arial"/>
      <w:b/>
      <w:sz w:val="28"/>
      <w:szCs w:val="20"/>
    </w:rPr>
  </w:style>
  <w:style w:type="paragraph" w:styleId="Heading3">
    <w:name w:val="heading 3"/>
    <w:aliases w:val="hd3,h3"/>
    <w:basedOn w:val="Normal"/>
    <w:next w:val="Normal"/>
    <w:autoRedefine/>
    <w:qFormat/>
    <w:pPr>
      <w:keepNext/>
      <w:keepLines/>
      <w:numPr>
        <w:ilvl w:val="2"/>
        <w:numId w:val="1"/>
      </w:numPr>
      <w:overflowPunct w:val="0"/>
      <w:autoSpaceDE w:val="0"/>
      <w:autoSpaceDN w:val="0"/>
      <w:adjustRightInd w:val="0"/>
      <w:spacing w:before="240" w:after="60"/>
      <w:textAlignment w:val="baseline"/>
      <w:outlineLvl w:val="2"/>
    </w:pPr>
    <w:rPr>
      <w:rFonts w:ascii="Arial" w:hAnsi="Arial" w:cs="Arial"/>
      <w:b/>
      <w:sz w:val="22"/>
      <w:szCs w:val="20"/>
    </w:rPr>
  </w:style>
  <w:style w:type="paragraph" w:styleId="Heading4">
    <w:name w:val="heading 4"/>
    <w:basedOn w:val="Normal"/>
    <w:next w:val="Normal"/>
    <w:autoRedefine/>
    <w:qFormat/>
    <w:pPr>
      <w:keepNext/>
      <w:numPr>
        <w:ilvl w:val="3"/>
        <w:numId w:val="1"/>
      </w:numPr>
      <w:outlineLvl w:val="3"/>
    </w:pPr>
    <w:rPr>
      <w:rFonts w:ascii="Arial" w:hAnsi="Arial"/>
      <w:bCs/>
    </w:rPr>
  </w:style>
  <w:style w:type="paragraph" w:styleId="Heading5">
    <w:name w:val="heading 5"/>
    <w:basedOn w:val="Normal"/>
    <w:next w:val="Normal"/>
    <w:autoRedefine/>
    <w:qFormat/>
    <w:pPr>
      <w:numPr>
        <w:ilvl w:val="4"/>
        <w:numId w:val="1"/>
      </w:numPr>
      <w:spacing w:before="240" w:after="60"/>
      <w:outlineLvl w:val="4"/>
    </w:pPr>
    <w:rPr>
      <w:rFonts w:ascii="Arial" w:hAnsi="Arial"/>
      <w:b/>
      <w:bCs/>
      <w:iCs/>
      <w:sz w:val="20"/>
      <w:szCs w:val="26"/>
    </w:rPr>
  </w:style>
  <w:style w:type="paragraph" w:styleId="Heading6">
    <w:name w:val="heading 6"/>
    <w:basedOn w:val="Normal"/>
    <w:next w:val="Normal"/>
    <w:qFormat/>
    <w:pPr>
      <w:keepNext/>
      <w:jc w:val="right"/>
      <w:outlineLvl w:val="5"/>
    </w:pPr>
    <w:rPr>
      <w:b/>
      <w:bCs/>
      <w:szCs w:val="28"/>
    </w:rPr>
  </w:style>
  <w:style w:type="paragraph" w:styleId="Heading7">
    <w:name w:val="heading 7"/>
    <w:basedOn w:val="Normal"/>
    <w:next w:val="Normal"/>
    <w:qFormat/>
    <w:pPr>
      <w:keepNext/>
      <w:jc w:val="righ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0">
    <w:name w:val="Heading5"/>
    <w:basedOn w:val="Normal"/>
    <w:autoRedefine/>
    <w:rPr>
      <w:sz w:val="28"/>
    </w:rPr>
  </w:style>
  <w:style w:type="paragraph" w:customStyle="1" w:styleId="HeadingBar">
    <w:name w:val="Heading Bar"/>
    <w:basedOn w:val="Normal"/>
    <w:next w:val="Heading2"/>
    <w:pPr>
      <w:keepNext/>
      <w:shd w:val="solid" w:color="auto" w:fill="auto"/>
      <w:spacing w:before="240"/>
      <w:ind w:right="7938"/>
    </w:pPr>
    <w:rPr>
      <w:rFonts w:ascii="Body text" w:hAnsi="Body text"/>
      <w:color w:val="FFFFFF"/>
      <w:sz w:val="8"/>
      <w:szCs w:val="20"/>
    </w:rPr>
  </w:style>
  <w:style w:type="paragraph" w:styleId="TOC2">
    <w:name w:val="toc 2"/>
    <w:basedOn w:val="Normal"/>
    <w:next w:val="Normal"/>
    <w:semiHidden/>
    <w:pPr>
      <w:ind w:left="1418"/>
    </w:pPr>
    <w:rPr>
      <w:rFonts w:ascii="Book Antiqua" w:hAnsi="Book Antiqua"/>
      <w:b/>
    </w:rPr>
  </w:style>
  <w:style w:type="paragraph" w:styleId="TOC3">
    <w:name w:val="toc 3"/>
    <w:basedOn w:val="Normal"/>
    <w:next w:val="Normal"/>
    <w:autoRedefine/>
    <w:semiHidden/>
    <w:pPr>
      <w:ind w:left="1701"/>
    </w:pPr>
    <w:rPr>
      <w:rFonts w:ascii="Book Antiqua" w:hAnsi="Book Antiqua"/>
      <w:b/>
      <w:sz w:val="22"/>
    </w:rPr>
  </w:style>
  <w:style w:type="paragraph" w:styleId="TOC4">
    <w:name w:val="toc 4"/>
    <w:basedOn w:val="Normal"/>
    <w:next w:val="Normal"/>
    <w:semiHidden/>
    <w:pPr>
      <w:ind w:left="720"/>
    </w:pPr>
    <w:rPr>
      <w:rFonts w:ascii="Book Antiqua" w:hAnsi="Book Antiqua"/>
      <w:b/>
      <w:sz w:val="20"/>
    </w:rPr>
  </w:style>
  <w:style w:type="paragraph" w:styleId="TOC1">
    <w:name w:val="toc 1"/>
    <w:basedOn w:val="Normal"/>
    <w:next w:val="Normal"/>
    <w:semiHidden/>
    <w:pPr>
      <w:ind w:left="1134"/>
      <w:outlineLvl w:val="0"/>
    </w:pPr>
    <w:rPr>
      <w:rFonts w:ascii="Book Antiqua" w:hAnsi="Book Antiqua"/>
      <w:b/>
      <w:sz w:val="28"/>
    </w:rPr>
  </w:style>
  <w:style w:type="paragraph" w:styleId="TOC5">
    <w:name w:val="toc 5"/>
    <w:basedOn w:val="Normal"/>
    <w:next w:val="Normal"/>
    <w:semiHidden/>
    <w:pPr>
      <w:ind w:left="960"/>
    </w:pPr>
    <w:rPr>
      <w:rFonts w:ascii="Book Antiqua" w:hAnsi="Book Antiqua"/>
      <w:sz w:val="20"/>
    </w:rPr>
  </w:style>
  <w:style w:type="paragraph" w:customStyle="1" w:styleId="Style1">
    <w:name w:val="Style1"/>
    <w:basedOn w:val="HeadingBar"/>
    <w:next w:val="HeadingBar"/>
    <w:pPr>
      <w:ind w:right="9639"/>
    </w:pPr>
    <w:rPr>
      <w:rFonts w:ascii="Book Antiqua" w:hAnsi="Book Antiqua"/>
    </w:rPr>
  </w:style>
  <w:style w:type="paragraph" w:styleId="Title">
    <w:name w:val="Title"/>
    <w:basedOn w:val="Normal"/>
    <w:qFormat/>
    <w:pPr>
      <w:overflowPunct w:val="0"/>
      <w:autoSpaceDE w:val="0"/>
      <w:autoSpaceDN w:val="0"/>
      <w:adjustRightInd w:val="0"/>
      <w:spacing w:before="240" w:after="60"/>
      <w:jc w:val="center"/>
      <w:textAlignment w:val="baseline"/>
    </w:pPr>
    <w:rPr>
      <w:rFonts w:ascii="Arial" w:hAnsi="Arial"/>
      <w:b/>
      <w:kern w:val="28"/>
      <w:sz w:val="48"/>
      <w:szCs w:val="20"/>
    </w:rPr>
  </w:style>
  <w:style w:type="paragraph" w:styleId="NormalWeb">
    <w:name w:val="Normal (Web)"/>
    <w:basedOn w:val="Normal"/>
    <w:pPr>
      <w:spacing w:before="100" w:beforeAutospacing="1" w:after="100" w:afterAutospacing="1"/>
    </w:pPr>
  </w:style>
  <w:style w:type="paragraph" w:styleId="BodyText">
    <w:name w:val="Body Text"/>
    <w:basedOn w:val="Normal"/>
    <w:rPr>
      <w:rFonts w:ascii="Arial" w:hAnsi="Arial" w:cs="Arial"/>
      <w:sz w:val="22"/>
    </w:rPr>
  </w:style>
  <w:style w:type="paragraph" w:styleId="BodyText2">
    <w:name w:val="Body Text 2"/>
    <w:basedOn w:val="Normal"/>
    <w:pPr>
      <w:jc w:val="both"/>
    </w:pPr>
    <w:rPr>
      <w:rFonts w:ascii="Arial" w:hAnsi="Arial" w:cs="Arial"/>
      <w:sz w:val="22"/>
    </w:rPr>
  </w:style>
  <w:style w:type="paragraph" w:customStyle="1" w:styleId="CharCharChar">
    <w:name w:val="Char Char Char"/>
    <w:basedOn w:val="Normal"/>
    <w:rsid w:val="007E4A31"/>
    <w:pPr>
      <w:spacing w:before="120" w:after="160" w:line="240" w:lineRule="exact"/>
      <w:ind w:firstLine="720"/>
      <w:jc w:val="both"/>
    </w:pPr>
    <w:rPr>
      <w:rFonts w:ascii="Verdana" w:hAnsi="Verdana"/>
      <w:sz w:val="20"/>
      <w:szCs w:val="20"/>
    </w:rPr>
  </w:style>
  <w:style w:type="table" w:styleId="TableGrid">
    <w:name w:val="Table Grid"/>
    <w:basedOn w:val="TableNormal"/>
    <w:rsid w:val="00CB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129"/>
    <w:pPr>
      <w:tabs>
        <w:tab w:val="center" w:pos="4153"/>
        <w:tab w:val="right" w:pos="8306"/>
      </w:tabs>
    </w:pPr>
  </w:style>
  <w:style w:type="paragraph" w:styleId="Footer">
    <w:name w:val="footer"/>
    <w:basedOn w:val="Normal"/>
    <w:link w:val="FooterChar"/>
    <w:uiPriority w:val="99"/>
    <w:rsid w:val="00913129"/>
    <w:pPr>
      <w:tabs>
        <w:tab w:val="center" w:pos="4153"/>
        <w:tab w:val="right" w:pos="8306"/>
      </w:tabs>
    </w:pPr>
  </w:style>
  <w:style w:type="character" w:styleId="PageNumber">
    <w:name w:val="page number"/>
    <w:basedOn w:val="DefaultParagraphFont"/>
    <w:rsid w:val="00072F8F"/>
  </w:style>
  <w:style w:type="paragraph" w:customStyle="1" w:styleId="ColorfulList-Accent11">
    <w:name w:val="Colorful List - Accent 11"/>
    <w:basedOn w:val="Normal"/>
    <w:uiPriority w:val="34"/>
    <w:qFormat/>
    <w:rsid w:val="00706D79"/>
    <w:pPr>
      <w:ind w:left="720"/>
    </w:pPr>
  </w:style>
  <w:style w:type="paragraph" w:styleId="BalloonText">
    <w:name w:val="Balloon Text"/>
    <w:basedOn w:val="Normal"/>
    <w:link w:val="BalloonTextChar"/>
    <w:rsid w:val="00760FFD"/>
    <w:rPr>
      <w:rFonts w:ascii="Tahoma" w:hAnsi="Tahoma"/>
      <w:sz w:val="16"/>
      <w:szCs w:val="16"/>
    </w:rPr>
  </w:style>
  <w:style w:type="character" w:customStyle="1" w:styleId="BalloonTextChar">
    <w:name w:val="Balloon Text Char"/>
    <w:link w:val="BalloonText"/>
    <w:rsid w:val="00760FFD"/>
    <w:rPr>
      <w:rFonts w:ascii="Tahoma" w:hAnsi="Tahoma" w:cs="Tahoma"/>
      <w:sz w:val="16"/>
      <w:szCs w:val="16"/>
      <w:lang w:eastAsia="en-GB"/>
    </w:rPr>
  </w:style>
  <w:style w:type="paragraph" w:styleId="EndnoteText">
    <w:name w:val="endnote text"/>
    <w:basedOn w:val="Normal"/>
    <w:link w:val="EndnoteTextChar"/>
    <w:rsid w:val="00C566A8"/>
    <w:rPr>
      <w:sz w:val="20"/>
      <w:szCs w:val="20"/>
    </w:rPr>
  </w:style>
  <w:style w:type="character" w:customStyle="1" w:styleId="EndnoteTextChar">
    <w:name w:val="Endnote Text Char"/>
    <w:link w:val="EndnoteText"/>
    <w:rsid w:val="00C566A8"/>
    <w:rPr>
      <w:lang w:val="en-GB"/>
    </w:rPr>
  </w:style>
  <w:style w:type="character" w:styleId="EndnoteReference">
    <w:name w:val="endnote reference"/>
    <w:rsid w:val="00C566A8"/>
    <w:rPr>
      <w:vertAlign w:val="superscript"/>
    </w:rPr>
  </w:style>
  <w:style w:type="character" w:styleId="Hyperlink">
    <w:name w:val="Hyperlink"/>
    <w:rsid w:val="00E614FC"/>
    <w:rPr>
      <w:color w:val="0000FF"/>
      <w:u w:val="single"/>
    </w:rPr>
  </w:style>
  <w:style w:type="character" w:styleId="CommentReference">
    <w:name w:val="annotation reference"/>
    <w:rsid w:val="00097445"/>
    <w:rPr>
      <w:sz w:val="16"/>
      <w:szCs w:val="16"/>
    </w:rPr>
  </w:style>
  <w:style w:type="paragraph" w:styleId="CommentText">
    <w:name w:val="annotation text"/>
    <w:basedOn w:val="Normal"/>
    <w:link w:val="CommentTextChar"/>
    <w:rsid w:val="00097445"/>
    <w:rPr>
      <w:sz w:val="20"/>
      <w:szCs w:val="20"/>
    </w:rPr>
  </w:style>
  <w:style w:type="character" w:customStyle="1" w:styleId="CommentTextChar">
    <w:name w:val="Comment Text Char"/>
    <w:link w:val="CommentText"/>
    <w:rsid w:val="00097445"/>
    <w:rPr>
      <w:lang w:eastAsia="en-GB"/>
    </w:rPr>
  </w:style>
  <w:style w:type="paragraph" w:styleId="CommentSubject">
    <w:name w:val="annotation subject"/>
    <w:basedOn w:val="CommentText"/>
    <w:next w:val="CommentText"/>
    <w:link w:val="CommentSubjectChar"/>
    <w:rsid w:val="00097445"/>
    <w:rPr>
      <w:b/>
      <w:bCs/>
    </w:rPr>
  </w:style>
  <w:style w:type="character" w:customStyle="1" w:styleId="CommentSubjectChar">
    <w:name w:val="Comment Subject Char"/>
    <w:link w:val="CommentSubject"/>
    <w:rsid w:val="00097445"/>
    <w:rPr>
      <w:b/>
      <w:bCs/>
      <w:lang w:eastAsia="en-GB"/>
    </w:rPr>
  </w:style>
  <w:style w:type="character" w:customStyle="1" w:styleId="FooterChar">
    <w:name w:val="Footer Char"/>
    <w:link w:val="Footer"/>
    <w:uiPriority w:val="99"/>
    <w:rsid w:val="002775B8"/>
    <w:rPr>
      <w:sz w:val="24"/>
      <w:szCs w:val="24"/>
      <w:lang w:eastAsia="en-GB"/>
    </w:rPr>
  </w:style>
  <w:style w:type="paragraph" w:styleId="Revision">
    <w:name w:val="Revision"/>
    <w:hidden/>
    <w:uiPriority w:val="99"/>
    <w:semiHidden/>
    <w:rsid w:val="00621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2366">
      <w:bodyDiv w:val="1"/>
      <w:marLeft w:val="0"/>
      <w:marRight w:val="0"/>
      <w:marTop w:val="0"/>
      <w:marBottom w:val="0"/>
      <w:divBdr>
        <w:top w:val="none" w:sz="0" w:space="0" w:color="auto"/>
        <w:left w:val="none" w:sz="0" w:space="0" w:color="auto"/>
        <w:bottom w:val="none" w:sz="0" w:space="0" w:color="auto"/>
        <w:right w:val="none" w:sz="0" w:space="0" w:color="auto"/>
      </w:divBdr>
    </w:div>
    <w:div w:id="1529945940">
      <w:bodyDiv w:val="1"/>
      <w:marLeft w:val="0"/>
      <w:marRight w:val="0"/>
      <w:marTop w:val="0"/>
      <w:marBottom w:val="0"/>
      <w:divBdr>
        <w:top w:val="none" w:sz="0" w:space="0" w:color="auto"/>
        <w:left w:val="none" w:sz="0" w:space="0" w:color="auto"/>
        <w:bottom w:val="none" w:sz="0" w:space="0" w:color="auto"/>
        <w:right w:val="none" w:sz="0" w:space="0" w:color="auto"/>
      </w:divBdr>
    </w:div>
    <w:div w:id="1726371156">
      <w:bodyDiv w:val="1"/>
      <w:marLeft w:val="0"/>
      <w:marRight w:val="0"/>
      <w:marTop w:val="0"/>
      <w:marBottom w:val="0"/>
      <w:divBdr>
        <w:top w:val="none" w:sz="0" w:space="0" w:color="auto"/>
        <w:left w:val="none" w:sz="0" w:space="0" w:color="auto"/>
        <w:bottom w:val="none" w:sz="0" w:space="0" w:color="auto"/>
        <w:right w:val="none" w:sz="0" w:space="0" w:color="auto"/>
      </w:divBdr>
    </w:div>
    <w:div w:id="1799912112">
      <w:bodyDiv w:val="1"/>
      <w:marLeft w:val="0"/>
      <w:marRight w:val="0"/>
      <w:marTop w:val="0"/>
      <w:marBottom w:val="0"/>
      <w:divBdr>
        <w:top w:val="none" w:sz="0" w:space="0" w:color="auto"/>
        <w:left w:val="none" w:sz="0" w:space="0" w:color="auto"/>
        <w:bottom w:val="none" w:sz="0" w:space="0" w:color="auto"/>
        <w:right w:val="none" w:sz="0" w:space="0" w:color="auto"/>
      </w:divBdr>
    </w:div>
    <w:div w:id="1899901042">
      <w:bodyDiv w:val="1"/>
      <w:marLeft w:val="0"/>
      <w:marRight w:val="0"/>
      <w:marTop w:val="0"/>
      <w:marBottom w:val="0"/>
      <w:divBdr>
        <w:top w:val="none" w:sz="0" w:space="0" w:color="auto"/>
        <w:left w:val="none" w:sz="0" w:space="0" w:color="auto"/>
        <w:bottom w:val="none" w:sz="0" w:space="0" w:color="auto"/>
        <w:right w:val="none" w:sz="0" w:space="0" w:color="auto"/>
      </w:divBdr>
    </w:div>
    <w:div w:id="2001158379">
      <w:bodyDiv w:val="1"/>
      <w:marLeft w:val="0"/>
      <w:marRight w:val="0"/>
      <w:marTop w:val="0"/>
      <w:marBottom w:val="0"/>
      <w:divBdr>
        <w:top w:val="none" w:sz="0" w:space="0" w:color="auto"/>
        <w:left w:val="none" w:sz="0" w:space="0" w:color="auto"/>
        <w:bottom w:val="none" w:sz="0" w:space="0" w:color="auto"/>
        <w:right w:val="none" w:sz="0" w:space="0" w:color="auto"/>
      </w:divBdr>
    </w:div>
    <w:div w:id="20264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58EE-401F-4664-A037-49BA87EF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4078</Words>
  <Characters>2325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2016-09-29T07:45:00Z</dcterms:created>
  <dcterms:modified xsi:type="dcterms:W3CDTF">2016-09-29T07:45:00Z</dcterms:modified>
</cp:coreProperties>
</file>