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CC04D0" w:rsidRPr="0021165A" w:rsidTr="00383C10">
        <w:trPr>
          <w:trHeight w:val="4770"/>
        </w:trPr>
        <w:tc>
          <w:tcPr>
            <w:tcW w:w="10170" w:type="dxa"/>
          </w:tcPr>
          <w:p w:rsidR="00CC04D0" w:rsidRPr="00212DBE" w:rsidRDefault="00256BEE" w:rsidP="00383C1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212DBE">
              <w:rPr>
                <w:b/>
                <w:sz w:val="22"/>
                <w:szCs w:val="22"/>
                <w:lang w:val="lv-LV"/>
              </w:rPr>
              <w:t>Atklāta konkursa “Materiālo vērtību pārvietošanas pakalpojumi Rīgas Tehniskās universitātes vajadzībām”,</w:t>
            </w:r>
          </w:p>
          <w:p w:rsidR="00CC04D0" w:rsidRPr="00212DBE" w:rsidRDefault="00CC04D0" w:rsidP="00383C10">
            <w:pPr>
              <w:tabs>
                <w:tab w:val="center" w:pos="4977"/>
                <w:tab w:val="left" w:pos="7725"/>
              </w:tabs>
              <w:jc w:val="center"/>
              <w:rPr>
                <w:b/>
                <w:sz w:val="22"/>
                <w:szCs w:val="22"/>
                <w:lang w:val="lv-LV"/>
              </w:rPr>
            </w:pPr>
            <w:r w:rsidRPr="00212DBE">
              <w:rPr>
                <w:b/>
                <w:sz w:val="22"/>
                <w:szCs w:val="22"/>
                <w:lang w:val="lv-LV"/>
              </w:rPr>
              <w:t xml:space="preserve"> (Identifikācijas Nr. RTU – 2016/</w:t>
            </w:r>
            <w:r w:rsidR="00256BEE" w:rsidRPr="00212DBE">
              <w:rPr>
                <w:b/>
                <w:sz w:val="22"/>
                <w:szCs w:val="22"/>
                <w:lang w:val="lv-LV"/>
              </w:rPr>
              <w:t>139</w:t>
            </w:r>
            <w:r w:rsidRPr="00212DBE">
              <w:rPr>
                <w:b/>
                <w:sz w:val="22"/>
                <w:szCs w:val="22"/>
                <w:lang w:val="lv-LV"/>
              </w:rPr>
              <w:t>)</w:t>
            </w:r>
          </w:p>
          <w:p w:rsidR="00CC04D0" w:rsidRPr="00256BEE" w:rsidRDefault="00CC04D0" w:rsidP="00383C10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CC04D0" w:rsidRPr="00256BEE" w:rsidRDefault="009220A4" w:rsidP="00383C10">
            <w:pPr>
              <w:jc w:val="center"/>
              <w:rPr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>Protokols Nr.2</w:t>
            </w:r>
          </w:p>
          <w:tbl>
            <w:tblPr>
              <w:tblW w:w="10782" w:type="dxa"/>
              <w:tblLayout w:type="fixed"/>
              <w:tblLook w:val="01E0" w:firstRow="1" w:lastRow="1" w:firstColumn="1" w:lastColumn="1" w:noHBand="0" w:noVBand="0"/>
            </w:tblPr>
            <w:tblGrid>
              <w:gridCol w:w="4212"/>
              <w:gridCol w:w="6570"/>
            </w:tblGrid>
            <w:tr w:rsidR="00CC04D0" w:rsidRPr="0088057D" w:rsidTr="00383C10">
              <w:trPr>
                <w:trHeight w:val="208"/>
              </w:trPr>
              <w:tc>
                <w:tcPr>
                  <w:tcW w:w="4212" w:type="dxa"/>
                  <w:hideMark/>
                </w:tcPr>
                <w:p w:rsidR="00CC04D0" w:rsidRPr="00256BEE" w:rsidRDefault="00CC04D0" w:rsidP="00383C10">
                  <w:pPr>
                    <w:ind w:left="-198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 xml:space="preserve">   </w:t>
                  </w:r>
                </w:p>
                <w:p w:rsidR="00CC04D0" w:rsidRPr="00256BEE" w:rsidRDefault="00CC04D0" w:rsidP="00256BEE">
                  <w:pPr>
                    <w:ind w:left="-198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 xml:space="preserve">  Rīgā, Kaļķu ielā 1 – 322.telpā,     plkst. </w:t>
                  </w:r>
                  <w:r w:rsidR="00256BEE" w:rsidRPr="00256BEE">
                    <w:rPr>
                      <w:sz w:val="22"/>
                      <w:szCs w:val="22"/>
                      <w:lang w:val="lv-LV"/>
                    </w:rPr>
                    <w:t>09</w:t>
                  </w:r>
                  <w:r w:rsidRPr="00256BEE">
                    <w:rPr>
                      <w:sz w:val="22"/>
                      <w:szCs w:val="22"/>
                      <w:lang w:val="lv-LV"/>
                    </w:rPr>
                    <w:t>:00</w:t>
                  </w:r>
                </w:p>
              </w:tc>
              <w:tc>
                <w:tcPr>
                  <w:tcW w:w="6570" w:type="dxa"/>
                  <w:hideMark/>
                </w:tcPr>
                <w:p w:rsidR="00CC04D0" w:rsidRPr="00256BEE" w:rsidRDefault="00CC04D0" w:rsidP="0021165A">
                  <w:pPr>
                    <w:rPr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 xml:space="preserve">                                                                                     </w:t>
                  </w:r>
                  <w:r w:rsidR="00256BEE" w:rsidRPr="00256BEE">
                    <w:rPr>
                      <w:sz w:val="22"/>
                      <w:szCs w:val="22"/>
                      <w:lang w:val="lv-LV"/>
                    </w:rPr>
                    <w:t>09</w:t>
                  </w:r>
                  <w:r w:rsidR="0021165A" w:rsidRPr="00256BEE">
                    <w:rPr>
                      <w:sz w:val="22"/>
                      <w:szCs w:val="22"/>
                      <w:lang w:val="lv-LV"/>
                    </w:rPr>
                    <w:t>.</w:t>
                  </w:r>
                  <w:r w:rsidR="00256BEE" w:rsidRPr="00256BEE">
                    <w:rPr>
                      <w:sz w:val="22"/>
                      <w:szCs w:val="22"/>
                      <w:lang w:val="lv-LV"/>
                    </w:rPr>
                    <w:t>01.2017</w:t>
                  </w:r>
                  <w:r w:rsidRPr="00256BEE">
                    <w:rPr>
                      <w:sz w:val="22"/>
                      <w:szCs w:val="22"/>
                      <w:lang w:val="lv-LV"/>
                    </w:rPr>
                    <w:t>.</w:t>
                  </w:r>
                </w:p>
              </w:tc>
            </w:tr>
            <w:tr w:rsidR="00CC04D0" w:rsidRPr="0088057D" w:rsidTr="00383C10">
              <w:trPr>
                <w:trHeight w:val="208"/>
              </w:trPr>
              <w:tc>
                <w:tcPr>
                  <w:tcW w:w="4212" w:type="dxa"/>
                </w:tcPr>
                <w:p w:rsidR="00CC04D0" w:rsidRPr="00256BEE" w:rsidRDefault="00CC04D0" w:rsidP="00383C10">
                  <w:pPr>
                    <w:ind w:left="-198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6570" w:type="dxa"/>
                </w:tcPr>
                <w:p w:rsidR="00CC04D0" w:rsidRPr="00256BEE" w:rsidRDefault="00CC04D0" w:rsidP="00383C10">
                  <w:pPr>
                    <w:jc w:val="right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CC04D0" w:rsidRPr="00256BEE" w:rsidRDefault="00CC04D0" w:rsidP="00383C10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>Komisijas priekšsēdētājs:</w:t>
            </w:r>
          </w:p>
          <w:p w:rsidR="00CC04D0" w:rsidRPr="00256BEE" w:rsidRDefault="00CC04D0" w:rsidP="00383C10">
            <w:pPr>
              <w:ind w:left="2880" w:hanging="2880"/>
              <w:jc w:val="both"/>
              <w:rPr>
                <w:b/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>Iveta Benga                         Iepirkumu nodaļas vecākā iepirkumu speciāliste</w:t>
            </w:r>
          </w:p>
          <w:p w:rsidR="00CC04D0" w:rsidRPr="00256BEE" w:rsidRDefault="00CC04D0" w:rsidP="00383C10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CC04D0" w:rsidRPr="00256BEE" w:rsidRDefault="00CC04D0" w:rsidP="00383C10">
            <w:pPr>
              <w:jc w:val="both"/>
              <w:rPr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>Komisijas locekļi:</w:t>
            </w:r>
            <w:r w:rsidRPr="00256BEE">
              <w:rPr>
                <w:sz w:val="22"/>
                <w:szCs w:val="22"/>
                <w:lang w:val="lv-LV"/>
              </w:rPr>
              <w:tab/>
            </w:r>
          </w:p>
          <w:p w:rsidR="00CC04D0" w:rsidRPr="00256BEE" w:rsidRDefault="00CC04D0" w:rsidP="00383C10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 xml:space="preserve">         </w:t>
            </w:r>
          </w:p>
          <w:tbl>
            <w:tblPr>
              <w:tblStyle w:val="TableGrid"/>
              <w:tblW w:w="100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7351"/>
            </w:tblGrid>
            <w:tr w:rsidR="00CC04D0" w:rsidRPr="00256BEE" w:rsidTr="00256BEE">
              <w:tc>
                <w:tcPr>
                  <w:tcW w:w="2660" w:type="dxa"/>
                </w:tcPr>
                <w:p w:rsidR="00256BEE" w:rsidRPr="00256BEE" w:rsidRDefault="00256BEE" w:rsidP="00256BEE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>Māris Zemītis</w:t>
                  </w:r>
                </w:p>
                <w:p w:rsidR="00256BEE" w:rsidRPr="00256BEE" w:rsidRDefault="00256BEE" w:rsidP="00256BEE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256BEE" w:rsidRPr="00256BEE" w:rsidRDefault="00256BEE" w:rsidP="00256BEE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>Sandis Kārkliņš</w:t>
                  </w:r>
                </w:p>
                <w:p w:rsidR="00CC04D0" w:rsidRPr="00256BEE" w:rsidRDefault="00256BEE" w:rsidP="00256BEE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>Juris Korhs</w:t>
                  </w:r>
                  <w:r w:rsidRPr="00256BEE">
                    <w:rPr>
                      <w:rFonts w:ascii="Arial" w:hAnsi="Arial" w:cs="Arial"/>
                      <w:lang w:val="lv-LV"/>
                    </w:rPr>
                    <w:t xml:space="preserve"> </w:t>
                  </w:r>
                </w:p>
              </w:tc>
              <w:tc>
                <w:tcPr>
                  <w:tcW w:w="7351" w:type="dxa"/>
                </w:tcPr>
                <w:p w:rsidR="00256BEE" w:rsidRDefault="00256BEE" w:rsidP="00D847C1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 xml:space="preserve">Būvniecības inženierzinātņu fakultātes dekāna vietnieks administratīvi saimnieciskajā darbā </w:t>
                  </w:r>
                </w:p>
                <w:p w:rsidR="00D847C1" w:rsidRPr="00256BEE" w:rsidRDefault="00D847C1" w:rsidP="00D847C1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256BEE" w:rsidRPr="00256BEE" w:rsidRDefault="00256BEE" w:rsidP="00256BEE">
                  <w:pPr>
                    <w:spacing w:line="36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>Saimniecības departamenta direktors</w:t>
                  </w:r>
                </w:p>
                <w:p w:rsidR="00CC04D0" w:rsidRPr="00256BEE" w:rsidRDefault="00256BEE" w:rsidP="00256BEE">
                  <w:pPr>
                    <w:spacing w:line="360" w:lineRule="auto"/>
                    <w:jc w:val="both"/>
                    <w:rPr>
                      <w:b/>
                      <w:sz w:val="22"/>
                      <w:szCs w:val="22"/>
                      <w:highlight w:val="yellow"/>
                      <w:lang w:val="lv-LV"/>
                    </w:rPr>
                  </w:pPr>
                  <w:r w:rsidRPr="00256BEE">
                    <w:rPr>
                      <w:sz w:val="22"/>
                      <w:szCs w:val="22"/>
                      <w:lang w:val="lv-LV"/>
                    </w:rPr>
                    <w:t>Ķīpsalas kompleksa pārvaldes grupas nekustamā īpašuma speciālists</w:t>
                  </w:r>
                </w:p>
              </w:tc>
            </w:tr>
          </w:tbl>
          <w:p w:rsidR="00D847C1" w:rsidRDefault="00D847C1" w:rsidP="00383C10">
            <w:pPr>
              <w:jc w:val="both"/>
              <w:rPr>
                <w:sz w:val="22"/>
                <w:szCs w:val="22"/>
                <w:lang w:val="lv-LV"/>
              </w:rPr>
            </w:pPr>
          </w:p>
          <w:p w:rsidR="00CC04D0" w:rsidRPr="00256BEE" w:rsidRDefault="00CC04D0" w:rsidP="00383C10">
            <w:pPr>
              <w:jc w:val="both"/>
              <w:rPr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 xml:space="preserve">Komisija izveidota ar RTU finanšu prorektora </w:t>
            </w:r>
            <w:r w:rsidR="00256BEE" w:rsidRPr="00256BEE">
              <w:rPr>
                <w:sz w:val="22"/>
                <w:szCs w:val="22"/>
                <w:lang w:val="lv-LV"/>
              </w:rPr>
              <w:t>04</w:t>
            </w:r>
            <w:r w:rsidRPr="00256BEE">
              <w:rPr>
                <w:sz w:val="22"/>
                <w:szCs w:val="22"/>
                <w:lang w:val="lv-LV"/>
              </w:rPr>
              <w:t>.</w:t>
            </w:r>
            <w:r w:rsidR="00256BEE" w:rsidRPr="00256BEE">
              <w:rPr>
                <w:sz w:val="22"/>
                <w:szCs w:val="22"/>
                <w:lang w:val="lv-LV"/>
              </w:rPr>
              <w:t>11</w:t>
            </w:r>
            <w:r w:rsidRPr="00256BEE">
              <w:rPr>
                <w:sz w:val="22"/>
                <w:szCs w:val="22"/>
                <w:lang w:val="lv-LV"/>
              </w:rPr>
              <w:t>.2016.</w:t>
            </w:r>
            <w:r w:rsidRPr="00256BEE">
              <w:rPr>
                <w:color w:val="000000"/>
                <w:spacing w:val="-4"/>
                <w:sz w:val="22"/>
                <w:szCs w:val="22"/>
                <w:lang w:val="lv-LV"/>
              </w:rPr>
              <w:t>rīkojumu Nr.03000-1.2/</w:t>
            </w:r>
            <w:r w:rsidR="00256BEE" w:rsidRPr="00256BEE">
              <w:rPr>
                <w:color w:val="000000"/>
                <w:spacing w:val="-4"/>
                <w:sz w:val="22"/>
                <w:szCs w:val="22"/>
                <w:lang w:val="lv-LV"/>
              </w:rPr>
              <w:t>151</w:t>
            </w:r>
            <w:r w:rsidRPr="00256BEE">
              <w:rPr>
                <w:sz w:val="22"/>
                <w:szCs w:val="22"/>
                <w:lang w:val="lv-LV"/>
              </w:rPr>
              <w:t>.</w:t>
            </w:r>
          </w:p>
          <w:p w:rsidR="00CC04D0" w:rsidRPr="00256BEE" w:rsidRDefault="00CC04D0" w:rsidP="00383C10">
            <w:pPr>
              <w:jc w:val="both"/>
              <w:rPr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 xml:space="preserve">Sēdi vada un protokolē: </w:t>
            </w:r>
            <w:proofErr w:type="spellStart"/>
            <w:r w:rsidRPr="00256BEE">
              <w:rPr>
                <w:sz w:val="22"/>
                <w:szCs w:val="22"/>
                <w:lang w:val="lv-LV"/>
              </w:rPr>
              <w:t>I.Benga</w:t>
            </w:r>
            <w:proofErr w:type="spellEnd"/>
            <w:r w:rsidRPr="00256BEE">
              <w:rPr>
                <w:sz w:val="22"/>
                <w:szCs w:val="22"/>
                <w:lang w:val="lv-LV"/>
              </w:rPr>
              <w:t>.</w:t>
            </w:r>
          </w:p>
          <w:p w:rsidR="00CC04D0" w:rsidRPr="00256BEE" w:rsidRDefault="00CC04D0" w:rsidP="00383C10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CC04D0" w:rsidRPr="0021165A" w:rsidRDefault="00CC04D0" w:rsidP="00383C10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C04D0" w:rsidRPr="0088057D" w:rsidTr="00383C10">
        <w:trPr>
          <w:trHeight w:val="5458"/>
        </w:trPr>
        <w:tc>
          <w:tcPr>
            <w:tcW w:w="10170" w:type="dxa"/>
          </w:tcPr>
          <w:p w:rsidR="00CC04D0" w:rsidRDefault="00CC04D0" w:rsidP="00383C10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256BEE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Darba kārtībā</w:t>
            </w:r>
          </w:p>
          <w:p w:rsidR="009C2989" w:rsidRPr="00256BEE" w:rsidRDefault="009C2989" w:rsidP="00383C10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21165A" w:rsidRPr="00256BEE" w:rsidRDefault="009220A4" w:rsidP="0021165A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56BEE">
              <w:rPr>
                <w:b/>
                <w:sz w:val="22"/>
                <w:szCs w:val="22"/>
                <w:lang w:val="lv-LV"/>
              </w:rPr>
              <w:t>Atbildes</w:t>
            </w:r>
            <w:r w:rsidR="0021165A" w:rsidRPr="00256BEE">
              <w:rPr>
                <w:b/>
                <w:sz w:val="22"/>
                <w:szCs w:val="22"/>
                <w:lang w:val="lv-LV"/>
              </w:rPr>
              <w:t xml:space="preserve"> sniegšana uz iespējamā pretendenta uzdoto jautājumu.</w:t>
            </w:r>
          </w:p>
          <w:p w:rsidR="0021165A" w:rsidRPr="00256BEE" w:rsidRDefault="0021165A" w:rsidP="0021165A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21165A" w:rsidRPr="00256BEE" w:rsidRDefault="009220A4" w:rsidP="0021165A">
            <w:pPr>
              <w:pStyle w:val="ListParagraph"/>
              <w:keepNext/>
              <w:keepLines/>
              <w:numPr>
                <w:ilvl w:val="1"/>
                <w:numId w:val="5"/>
              </w:numPr>
              <w:jc w:val="both"/>
              <w:rPr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>Komisijas priekšsēdētāja</w:t>
            </w:r>
            <w:r w:rsidR="0021165A" w:rsidRPr="00256BE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56BEE">
              <w:rPr>
                <w:sz w:val="22"/>
                <w:szCs w:val="22"/>
                <w:lang w:val="lv-LV"/>
              </w:rPr>
              <w:t>I.Benga</w:t>
            </w:r>
            <w:proofErr w:type="spellEnd"/>
            <w:r w:rsidR="0021165A" w:rsidRPr="00256BEE">
              <w:rPr>
                <w:sz w:val="22"/>
                <w:szCs w:val="22"/>
                <w:lang w:val="lv-LV"/>
              </w:rPr>
              <w:t xml:space="preserve"> informē, ka </w:t>
            </w:r>
            <w:r w:rsidR="00256BEE" w:rsidRPr="00256BEE">
              <w:rPr>
                <w:sz w:val="22"/>
                <w:szCs w:val="22"/>
                <w:lang w:val="lv-LV"/>
              </w:rPr>
              <w:t>06</w:t>
            </w:r>
            <w:r w:rsidRPr="00256BEE">
              <w:rPr>
                <w:sz w:val="22"/>
                <w:szCs w:val="22"/>
                <w:lang w:val="lv-LV"/>
              </w:rPr>
              <w:t>.0</w:t>
            </w:r>
            <w:r w:rsidR="00256BEE" w:rsidRPr="00256BEE">
              <w:rPr>
                <w:sz w:val="22"/>
                <w:szCs w:val="22"/>
                <w:lang w:val="lv-LV"/>
              </w:rPr>
              <w:t>1.2017</w:t>
            </w:r>
            <w:r w:rsidR="0021165A" w:rsidRPr="00256BEE">
              <w:rPr>
                <w:sz w:val="22"/>
                <w:szCs w:val="22"/>
                <w:lang w:val="lv-LV"/>
              </w:rPr>
              <w:t xml:space="preserve">. </w:t>
            </w:r>
            <w:r w:rsidRPr="00256BEE">
              <w:rPr>
                <w:sz w:val="22"/>
                <w:szCs w:val="22"/>
                <w:lang w:val="lv-LV"/>
              </w:rPr>
              <w:t>no iespējamajā</w:t>
            </w:r>
            <w:r w:rsidR="0021165A" w:rsidRPr="00256BEE">
              <w:rPr>
                <w:sz w:val="22"/>
                <w:szCs w:val="22"/>
                <w:lang w:val="lv-LV"/>
              </w:rPr>
              <w:t xml:space="preserve"> pretendent</w:t>
            </w:r>
            <w:r w:rsidRPr="00256BEE">
              <w:rPr>
                <w:sz w:val="22"/>
                <w:szCs w:val="22"/>
                <w:lang w:val="lv-LV"/>
              </w:rPr>
              <w:t>a elektroniski ir saņemts jautājums</w:t>
            </w:r>
            <w:r w:rsidR="0021165A" w:rsidRPr="00256BEE">
              <w:rPr>
                <w:sz w:val="22"/>
                <w:szCs w:val="22"/>
                <w:lang w:val="lv-LV"/>
              </w:rPr>
              <w:t xml:space="preserve"> par </w:t>
            </w:r>
            <w:r w:rsidR="00256BEE" w:rsidRPr="00256BEE">
              <w:rPr>
                <w:sz w:val="22"/>
                <w:szCs w:val="22"/>
                <w:lang w:val="lv-LV"/>
              </w:rPr>
              <w:t xml:space="preserve">atklāta </w:t>
            </w:r>
            <w:r w:rsidR="0021165A" w:rsidRPr="00256BEE">
              <w:rPr>
                <w:sz w:val="22"/>
                <w:szCs w:val="22"/>
                <w:lang w:val="lv-LV"/>
              </w:rPr>
              <w:t>konkursa nolikumu.</w:t>
            </w:r>
          </w:p>
          <w:p w:rsidR="0021165A" w:rsidRDefault="0021165A" w:rsidP="0021165A">
            <w:pPr>
              <w:pStyle w:val="ListParagraph"/>
              <w:keepNext/>
              <w:keepLines/>
              <w:numPr>
                <w:ilvl w:val="1"/>
                <w:numId w:val="5"/>
              </w:numPr>
              <w:rPr>
                <w:sz w:val="22"/>
                <w:szCs w:val="22"/>
                <w:lang w:val="lv-LV"/>
              </w:rPr>
            </w:pPr>
            <w:r w:rsidRPr="00256BEE">
              <w:rPr>
                <w:sz w:val="22"/>
                <w:szCs w:val="22"/>
                <w:lang w:val="lv-LV"/>
              </w:rPr>
              <w:t xml:space="preserve">Komisijas </w:t>
            </w:r>
            <w:r w:rsidR="009220A4" w:rsidRPr="00256BEE">
              <w:rPr>
                <w:sz w:val="22"/>
                <w:szCs w:val="22"/>
                <w:lang w:val="lv-LV"/>
              </w:rPr>
              <w:t>locekļi iepazīstas ar uzdoto jautājumu un nolemj sniegt šādu atbildi</w:t>
            </w:r>
            <w:r w:rsidRPr="00256BEE">
              <w:rPr>
                <w:sz w:val="22"/>
                <w:szCs w:val="22"/>
                <w:lang w:val="lv-LV"/>
              </w:rPr>
              <w:t>:</w:t>
            </w:r>
          </w:p>
          <w:p w:rsidR="00212DBE" w:rsidRPr="00256BEE" w:rsidRDefault="00212DBE" w:rsidP="00212DBE">
            <w:pPr>
              <w:pStyle w:val="ListParagraph"/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9220A4" w:rsidRPr="00D847C1" w:rsidRDefault="009220A4" w:rsidP="009220A4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D847C1">
              <w:rPr>
                <w:b/>
                <w:sz w:val="22"/>
                <w:szCs w:val="22"/>
                <w:lang w:val="lv-LV"/>
              </w:rPr>
              <w:t xml:space="preserve">Jautājums: </w:t>
            </w:r>
          </w:p>
          <w:p w:rsidR="00256BEE" w:rsidRPr="00D847C1" w:rsidRDefault="00256BEE" w:rsidP="009220A4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256BEE" w:rsidRPr="00256BEE" w:rsidRDefault="00256BEE" w:rsidP="00256BEE">
            <w:pPr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</w:pPr>
            <w:r w:rsidRPr="00D847C1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>Lū</w:t>
            </w:r>
            <w:r w:rsidRPr="00256BEE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 xml:space="preserve">dzu </w:t>
            </w:r>
            <w:r w:rsidR="0088057D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>dodiet ziņ</w:t>
            </w:r>
            <w:r w:rsidRPr="00D847C1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>u kad un kur mēs varē</w:t>
            </w:r>
            <w:r w:rsidRPr="00256BEE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 xml:space="preserve">tu ierasties, lai </w:t>
            </w:r>
            <w:r w:rsidRPr="00D847C1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>apskatītu</w:t>
            </w:r>
            <w:r w:rsidRPr="00256BEE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Pr="00D847C1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>šīs</w:t>
            </w:r>
            <w:r w:rsidRPr="00256BEE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 xml:space="preserve"> lietas</w:t>
            </w:r>
            <w:r w:rsidRPr="00D847C1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>, lai tad varētu aprēķināt izcenojumus</w:t>
            </w:r>
            <w:r w:rsidRPr="00256BEE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>:</w:t>
            </w:r>
          </w:p>
          <w:p w:rsidR="00256BEE" w:rsidRPr="00256BEE" w:rsidRDefault="00256BEE" w:rsidP="00256BEE">
            <w:pPr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</w:pPr>
            <w:r w:rsidRPr="00256BEE">
              <w:rPr>
                <w:rFonts w:eastAsiaTheme="minorHAnsi"/>
                <w:color w:val="000000"/>
                <w:sz w:val="22"/>
                <w:szCs w:val="22"/>
                <w:lang w:val="lv-LV" w:eastAsia="lv-LV"/>
              </w:rPr>
              <w:t> </w:t>
            </w:r>
          </w:p>
          <w:tbl>
            <w:tblPr>
              <w:tblpPr w:leftFromText="180" w:rightFromText="180" w:bottomFromText="25" w:vertAnchor="text" w:tblpX="253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358"/>
              <w:gridCol w:w="6707"/>
            </w:tblGrid>
            <w:tr w:rsidR="00212DBE" w:rsidRPr="00D847C1" w:rsidTr="00D847C1">
              <w:trPr>
                <w:gridBefore w:val="1"/>
                <w:wBefore w:w="10" w:type="dxa"/>
                <w:trHeight w:val="630"/>
              </w:trPr>
              <w:tc>
                <w:tcPr>
                  <w:tcW w:w="1358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 </w:t>
                  </w:r>
                </w:p>
              </w:tc>
              <w:tc>
                <w:tcPr>
                  <w:tcW w:w="6707" w:type="dxa"/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i/>
                      <w:iCs/>
                      <w:sz w:val="22"/>
                      <w:szCs w:val="22"/>
                      <w:lang w:val="lv-LV" w:eastAsia="lv-LV"/>
                    </w:rPr>
                    <w:t>Laboratoriju iekārtas, mašīnas, automašīnas, virpas, stendi, materiāli</w:t>
                  </w:r>
                </w:p>
              </w:tc>
            </w:tr>
            <w:tr w:rsidR="00256BEE" w:rsidRPr="00256BEE" w:rsidTr="00D847C1">
              <w:trPr>
                <w:trHeight w:val="315"/>
              </w:trPr>
              <w:tc>
                <w:tcPr>
                  <w:tcW w:w="136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11.</w:t>
                  </w:r>
                </w:p>
              </w:tc>
              <w:tc>
                <w:tcPr>
                  <w:tcW w:w="6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- svars &gt; 100 kg</w:t>
                  </w:r>
                </w:p>
              </w:tc>
            </w:tr>
            <w:tr w:rsidR="00256BEE" w:rsidRPr="00256BEE" w:rsidTr="00D847C1">
              <w:trPr>
                <w:trHeight w:val="315"/>
              </w:trPr>
              <w:tc>
                <w:tcPr>
                  <w:tcW w:w="136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12.</w:t>
                  </w:r>
                </w:p>
              </w:tc>
              <w:tc>
                <w:tcPr>
                  <w:tcW w:w="6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- svars &gt; 250 kg</w:t>
                  </w:r>
                </w:p>
              </w:tc>
            </w:tr>
            <w:tr w:rsidR="00256BEE" w:rsidRPr="00256BEE" w:rsidTr="00D847C1">
              <w:trPr>
                <w:trHeight w:val="315"/>
              </w:trPr>
              <w:tc>
                <w:tcPr>
                  <w:tcW w:w="136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13.</w:t>
                  </w:r>
                </w:p>
              </w:tc>
              <w:tc>
                <w:tcPr>
                  <w:tcW w:w="6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- svars &gt; 500 kg</w:t>
                  </w:r>
                </w:p>
              </w:tc>
            </w:tr>
            <w:tr w:rsidR="00256BEE" w:rsidRPr="00256BEE" w:rsidTr="00D847C1">
              <w:trPr>
                <w:trHeight w:val="315"/>
              </w:trPr>
              <w:tc>
                <w:tcPr>
                  <w:tcW w:w="136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14.</w:t>
                  </w:r>
                </w:p>
              </w:tc>
              <w:tc>
                <w:tcPr>
                  <w:tcW w:w="6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- svars &gt; 1 000 kg</w:t>
                  </w:r>
                </w:p>
              </w:tc>
            </w:tr>
            <w:tr w:rsidR="00256BEE" w:rsidRPr="00256BEE" w:rsidTr="00D847C1">
              <w:trPr>
                <w:trHeight w:val="315"/>
              </w:trPr>
              <w:tc>
                <w:tcPr>
                  <w:tcW w:w="136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15.</w:t>
                  </w:r>
                </w:p>
              </w:tc>
              <w:tc>
                <w:tcPr>
                  <w:tcW w:w="6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- svars &gt; 2 000 kg</w:t>
                  </w:r>
                </w:p>
              </w:tc>
            </w:tr>
            <w:tr w:rsidR="00256BEE" w:rsidRPr="00256BEE" w:rsidTr="00D847C1">
              <w:trPr>
                <w:trHeight w:val="315"/>
              </w:trPr>
              <w:tc>
                <w:tcPr>
                  <w:tcW w:w="136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16.</w:t>
                  </w:r>
                </w:p>
              </w:tc>
              <w:tc>
                <w:tcPr>
                  <w:tcW w:w="6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- svars &gt; 3 000 kg</w:t>
                  </w:r>
                </w:p>
              </w:tc>
            </w:tr>
            <w:tr w:rsidR="00256BEE" w:rsidRPr="00256BEE" w:rsidTr="00D847C1">
              <w:trPr>
                <w:trHeight w:val="315"/>
              </w:trPr>
              <w:tc>
                <w:tcPr>
                  <w:tcW w:w="136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17.</w:t>
                  </w:r>
                </w:p>
              </w:tc>
              <w:tc>
                <w:tcPr>
                  <w:tcW w:w="6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- svars &gt; 5 000 kg</w:t>
                  </w:r>
                </w:p>
              </w:tc>
            </w:tr>
            <w:tr w:rsidR="00256BEE" w:rsidRPr="00256BEE" w:rsidTr="00D847C1">
              <w:trPr>
                <w:trHeight w:val="315"/>
              </w:trPr>
              <w:tc>
                <w:tcPr>
                  <w:tcW w:w="1368" w:type="dxa"/>
                  <w:gridSpan w:val="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jc w:val="center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18.</w:t>
                  </w:r>
                </w:p>
              </w:tc>
              <w:tc>
                <w:tcPr>
                  <w:tcW w:w="670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6BEE" w:rsidRPr="00256BEE" w:rsidRDefault="00256BEE" w:rsidP="00256BEE">
                  <w:pPr>
                    <w:spacing w:line="252" w:lineRule="auto"/>
                    <w:rPr>
                      <w:rFonts w:eastAsiaTheme="minorHAnsi"/>
                      <w:sz w:val="22"/>
                      <w:szCs w:val="22"/>
                      <w:lang w:val="lv-LV" w:eastAsia="lv-LV"/>
                    </w:rPr>
                  </w:pPr>
                  <w:r w:rsidRPr="00256BEE">
                    <w:rPr>
                      <w:rFonts w:eastAsiaTheme="minorHAnsi"/>
                      <w:b/>
                      <w:bCs/>
                      <w:sz w:val="22"/>
                      <w:szCs w:val="22"/>
                      <w:lang w:val="lv-LV" w:eastAsia="lv-LV"/>
                    </w:rPr>
                    <w:t>- svars &gt; 10 000 kg</w:t>
                  </w:r>
                </w:p>
              </w:tc>
            </w:tr>
          </w:tbl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256BEE" w:rsidRPr="00256BEE" w:rsidRDefault="00256BEE" w:rsidP="00256BE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256BEE">
              <w:rPr>
                <w:rFonts w:ascii="Arial" w:eastAsiaTheme="minorHAnsi" w:hAnsi="Arial" w:cs="Arial"/>
                <w:color w:val="000000"/>
                <w:sz w:val="20"/>
                <w:szCs w:val="20"/>
                <w:lang w:val="lv-LV" w:eastAsia="lv-LV"/>
              </w:rPr>
              <w:t> </w:t>
            </w:r>
          </w:p>
          <w:p w:rsidR="00CE0174" w:rsidRDefault="009220A4" w:rsidP="009220A4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56BEE">
              <w:rPr>
                <w:b/>
                <w:sz w:val="22"/>
                <w:szCs w:val="22"/>
                <w:lang w:val="lv-LV"/>
              </w:rPr>
              <w:t>Atbilde:</w:t>
            </w:r>
            <w:r w:rsidR="00D847C1">
              <w:rPr>
                <w:b/>
                <w:sz w:val="22"/>
                <w:szCs w:val="22"/>
                <w:lang w:val="lv-LV"/>
              </w:rPr>
              <w:t xml:space="preserve"> Nepieciešamības gadījumā Pretendentam ir tiesības apskatīt atsevišķas</w:t>
            </w:r>
            <w:r w:rsidR="009C2989">
              <w:rPr>
                <w:b/>
                <w:sz w:val="22"/>
                <w:szCs w:val="22"/>
                <w:lang w:val="lv-LV"/>
              </w:rPr>
              <w:t xml:space="preserve"> </w:t>
            </w:r>
            <w:r w:rsidR="00D847C1">
              <w:rPr>
                <w:b/>
                <w:sz w:val="22"/>
                <w:szCs w:val="22"/>
                <w:lang w:val="lv-LV"/>
              </w:rPr>
              <w:t>iekārtas, kas atrodas Pasūtītāja struktūrvienībās Rīgā</w:t>
            </w:r>
            <w:r w:rsidR="00CE0174">
              <w:rPr>
                <w:b/>
                <w:sz w:val="22"/>
                <w:szCs w:val="22"/>
                <w:lang w:val="lv-LV"/>
              </w:rPr>
              <w:t>,</w:t>
            </w:r>
            <w:r w:rsidR="00D847C1">
              <w:rPr>
                <w:b/>
                <w:sz w:val="22"/>
                <w:szCs w:val="22"/>
                <w:lang w:val="lv-LV"/>
              </w:rPr>
              <w:t xml:space="preserve"> Ķīpsalas ielā 6a, Ķīpsalas ielā 6b, </w:t>
            </w:r>
            <w:proofErr w:type="spellStart"/>
            <w:r w:rsidR="00D847C1">
              <w:rPr>
                <w:b/>
                <w:sz w:val="22"/>
                <w:szCs w:val="22"/>
                <w:lang w:val="lv-LV"/>
              </w:rPr>
              <w:t>Viskaļu</w:t>
            </w:r>
            <w:proofErr w:type="spellEnd"/>
            <w:r w:rsidR="00D847C1">
              <w:rPr>
                <w:b/>
                <w:sz w:val="22"/>
                <w:szCs w:val="22"/>
                <w:lang w:val="lv-LV"/>
              </w:rPr>
              <w:t xml:space="preserve"> ielā</w:t>
            </w:r>
            <w:r w:rsidR="00CE0174">
              <w:rPr>
                <w:b/>
                <w:sz w:val="22"/>
                <w:szCs w:val="22"/>
                <w:lang w:val="lv-LV"/>
              </w:rPr>
              <w:t xml:space="preserve"> 36</w:t>
            </w:r>
            <w:r w:rsidR="00D847C1">
              <w:rPr>
                <w:b/>
                <w:sz w:val="22"/>
                <w:szCs w:val="22"/>
                <w:lang w:val="lv-LV"/>
              </w:rPr>
              <w:t xml:space="preserve"> un Lomonos</w:t>
            </w:r>
            <w:r w:rsidR="00CE0174">
              <w:rPr>
                <w:b/>
                <w:sz w:val="22"/>
                <w:szCs w:val="22"/>
                <w:lang w:val="lv-LV"/>
              </w:rPr>
              <w:t xml:space="preserve">ova ielā 1. </w:t>
            </w:r>
            <w:r w:rsidR="0088057D">
              <w:rPr>
                <w:b/>
                <w:sz w:val="22"/>
                <w:szCs w:val="22"/>
                <w:lang w:val="lv-LV"/>
              </w:rPr>
              <w:t>Lai vienotos par iekārtu apskates laiku</w:t>
            </w:r>
            <w:r w:rsidR="00CE0174">
              <w:rPr>
                <w:b/>
                <w:sz w:val="22"/>
                <w:szCs w:val="22"/>
                <w:lang w:val="lv-LV"/>
              </w:rPr>
              <w:t>, iepriekš nepieciešams</w:t>
            </w:r>
            <w:r w:rsidR="0088057D">
              <w:rPr>
                <w:b/>
                <w:sz w:val="22"/>
                <w:szCs w:val="22"/>
                <w:lang w:val="lv-LV"/>
              </w:rPr>
              <w:t xml:space="preserve"> telefoniski</w:t>
            </w:r>
            <w:r w:rsidR="00CE0174">
              <w:rPr>
                <w:b/>
                <w:sz w:val="22"/>
                <w:szCs w:val="22"/>
                <w:lang w:val="lv-LV"/>
              </w:rPr>
              <w:t xml:space="preserve"> sazināties ar Pasūtītāja pārstāvjiem:</w:t>
            </w:r>
          </w:p>
          <w:p w:rsidR="00CE0174" w:rsidRDefault="0088057D" w:rsidP="009220A4">
            <w:pPr>
              <w:jc w:val="both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5"/>
              <w:gridCol w:w="4110"/>
            </w:tblGrid>
            <w:tr w:rsidR="00CE0174" w:rsidTr="009C2989">
              <w:tc>
                <w:tcPr>
                  <w:tcW w:w="4195" w:type="dxa"/>
                </w:tcPr>
                <w:p w:rsidR="00CE0174" w:rsidRDefault="00CE0174" w:rsidP="00CE0174">
                  <w:pPr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Struktūrvienības adrese</w:t>
                  </w:r>
                </w:p>
              </w:tc>
              <w:tc>
                <w:tcPr>
                  <w:tcW w:w="4110" w:type="dxa"/>
                </w:tcPr>
                <w:p w:rsidR="00CE0174" w:rsidRDefault="00CE0174" w:rsidP="00CE0174">
                  <w:pPr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>
                    <w:rPr>
                      <w:b/>
                      <w:sz w:val="22"/>
                      <w:szCs w:val="22"/>
                      <w:lang w:val="lv-LV"/>
                    </w:rPr>
                    <w:t>Pārstāvis un kontakti</w:t>
                  </w:r>
                </w:p>
              </w:tc>
            </w:tr>
            <w:tr w:rsidR="00CE0174" w:rsidTr="009C2989">
              <w:tc>
                <w:tcPr>
                  <w:tcW w:w="4195" w:type="dxa"/>
                </w:tcPr>
                <w:p w:rsidR="00CE0174" w:rsidRPr="00CE0174" w:rsidRDefault="00CE0174" w:rsidP="009220A4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CE0174">
                    <w:rPr>
                      <w:sz w:val="22"/>
                      <w:szCs w:val="22"/>
                      <w:lang w:val="lv-LV"/>
                    </w:rPr>
                    <w:t>Rīgā, Ķīp</w:t>
                  </w:r>
                  <w:r>
                    <w:rPr>
                      <w:sz w:val="22"/>
                      <w:szCs w:val="22"/>
                      <w:lang w:val="lv-LV"/>
                    </w:rPr>
                    <w:t xml:space="preserve">salas ielā 6a un Ķīpsalas ielā 6b </w:t>
                  </w:r>
                </w:p>
              </w:tc>
              <w:tc>
                <w:tcPr>
                  <w:tcW w:w="4110" w:type="dxa"/>
                </w:tcPr>
                <w:p w:rsidR="00CE0174" w:rsidRPr="00CE0174" w:rsidRDefault="00CE0174" w:rsidP="009220A4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 xml:space="preserve">Māris Zemītis, </w:t>
                  </w:r>
                  <w:r w:rsidR="009C2989">
                    <w:rPr>
                      <w:sz w:val="22"/>
                      <w:szCs w:val="22"/>
                      <w:lang w:val="lv-LV"/>
                    </w:rPr>
                    <w:t xml:space="preserve">tālrunis - </w:t>
                  </w:r>
                  <w:r w:rsidRPr="009C2989">
                    <w:rPr>
                      <w:sz w:val="22"/>
                      <w:szCs w:val="22"/>
                      <w:lang w:val="lv-LV"/>
                    </w:rPr>
                    <w:t>29197868</w:t>
                  </w:r>
                </w:p>
              </w:tc>
            </w:tr>
            <w:tr w:rsidR="00CE0174" w:rsidRPr="0088057D" w:rsidTr="009C2989">
              <w:tc>
                <w:tcPr>
                  <w:tcW w:w="4195" w:type="dxa"/>
                </w:tcPr>
                <w:p w:rsidR="00CE0174" w:rsidRPr="009C2989" w:rsidRDefault="009C2989" w:rsidP="009220A4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9C2989">
                    <w:rPr>
                      <w:sz w:val="22"/>
                      <w:szCs w:val="22"/>
                      <w:lang w:val="lv-LV"/>
                    </w:rPr>
                    <w:t xml:space="preserve">Rīgā, </w:t>
                  </w:r>
                  <w:proofErr w:type="spellStart"/>
                  <w:r w:rsidRPr="009C2989">
                    <w:rPr>
                      <w:sz w:val="22"/>
                      <w:szCs w:val="22"/>
                      <w:lang w:val="lv-LV"/>
                    </w:rPr>
                    <w:t>Viskaļu</w:t>
                  </w:r>
                  <w:proofErr w:type="spellEnd"/>
                  <w:r w:rsidRPr="009C2989">
                    <w:rPr>
                      <w:sz w:val="22"/>
                      <w:szCs w:val="22"/>
                      <w:lang w:val="lv-LV"/>
                    </w:rPr>
                    <w:t xml:space="preserve"> ielā 36 un Lomonosova ielā 1</w:t>
                  </w:r>
                </w:p>
              </w:tc>
              <w:tc>
                <w:tcPr>
                  <w:tcW w:w="4110" w:type="dxa"/>
                </w:tcPr>
                <w:p w:rsidR="00CE0174" w:rsidRDefault="009C2989" w:rsidP="009220A4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 xml:space="preserve">Juris Korhs, tālrunis - </w:t>
                  </w:r>
                  <w:r w:rsidRPr="009C2989">
                    <w:rPr>
                      <w:sz w:val="22"/>
                      <w:szCs w:val="22"/>
                      <w:lang w:val="lv-LV"/>
                    </w:rPr>
                    <w:t>22019012</w:t>
                  </w:r>
                </w:p>
              </w:tc>
            </w:tr>
          </w:tbl>
          <w:p w:rsidR="009C2989" w:rsidRDefault="009C2989" w:rsidP="009220A4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9C2989" w:rsidRDefault="009C2989" w:rsidP="009220A4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9220A4" w:rsidRDefault="00CE0174" w:rsidP="009220A4">
            <w:pPr>
              <w:jc w:val="both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lastRenderedPageBreak/>
              <w:t xml:space="preserve">Vienlaicīgi Pasūtītājs norāda, ka šajās struktūrvienībās esošās iekārtas ir daļa no visām iekārtām, kas atrodas Pasūtītāja valdījumā un kuras varētu rasties nepieciešamība pārvietot Vispārīgās vienošanās darbības laikā. </w:t>
            </w:r>
          </w:p>
          <w:p w:rsidR="00CE0174" w:rsidRPr="00256BEE" w:rsidRDefault="00CE0174" w:rsidP="009220A4">
            <w:pPr>
              <w:jc w:val="both"/>
              <w:rPr>
                <w:b/>
                <w:sz w:val="22"/>
                <w:szCs w:val="22"/>
                <w:lang w:val="lv-LV"/>
              </w:rPr>
            </w:pPr>
          </w:p>
          <w:p w:rsidR="00CC04D0" w:rsidRPr="00256BEE" w:rsidRDefault="00CC04D0" w:rsidP="00383C10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CC04D0" w:rsidRPr="00256BEE" w:rsidRDefault="00CC04D0" w:rsidP="00383C10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  <w:r w:rsidRPr="00256BEE">
              <w:rPr>
                <w:color w:val="000000" w:themeColor="text1"/>
                <w:sz w:val="22"/>
                <w:szCs w:val="22"/>
                <w:lang w:val="lv-LV"/>
              </w:rPr>
              <w:t xml:space="preserve">Sanāksmi slēdz: </w:t>
            </w:r>
            <w:proofErr w:type="spellStart"/>
            <w:r w:rsidRPr="00256BEE">
              <w:rPr>
                <w:color w:val="000000" w:themeColor="text1"/>
                <w:sz w:val="22"/>
                <w:szCs w:val="22"/>
                <w:lang w:val="lv-LV"/>
              </w:rPr>
              <w:t>I.Benga</w:t>
            </w:r>
            <w:proofErr w:type="spellEnd"/>
            <w:r w:rsidRPr="00256BEE">
              <w:rPr>
                <w:color w:val="000000" w:themeColor="text1"/>
                <w:sz w:val="22"/>
                <w:szCs w:val="22"/>
                <w:lang w:val="lv-LV"/>
              </w:rPr>
              <w:t xml:space="preserve">, plkst. </w:t>
            </w:r>
            <w:r w:rsidR="00256BEE" w:rsidRPr="00256BEE">
              <w:rPr>
                <w:color w:val="000000" w:themeColor="text1"/>
                <w:sz w:val="22"/>
                <w:szCs w:val="22"/>
                <w:lang w:val="lv-LV"/>
              </w:rPr>
              <w:t>09</w:t>
            </w:r>
            <w:r w:rsidR="009220A4" w:rsidRPr="00256BEE">
              <w:rPr>
                <w:color w:val="000000" w:themeColor="text1"/>
                <w:sz w:val="22"/>
                <w:szCs w:val="22"/>
                <w:lang w:val="lv-LV"/>
              </w:rPr>
              <w:t>:3</w:t>
            </w:r>
            <w:r w:rsidRPr="00256BEE">
              <w:rPr>
                <w:color w:val="000000" w:themeColor="text1"/>
                <w:sz w:val="22"/>
                <w:szCs w:val="22"/>
                <w:lang w:val="lv-LV"/>
              </w:rPr>
              <w:t>0.</w:t>
            </w:r>
          </w:p>
          <w:p w:rsidR="00CC04D0" w:rsidRPr="00256BEE" w:rsidRDefault="00CC04D0" w:rsidP="00383C10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tbl>
            <w:tblPr>
              <w:tblW w:w="9140" w:type="dxa"/>
              <w:tblLayout w:type="fixed"/>
              <w:tblLook w:val="01E0" w:firstRow="1" w:lastRow="1" w:firstColumn="1" w:lastColumn="1" w:noHBand="0" w:noVBand="0"/>
            </w:tblPr>
            <w:tblGrid>
              <w:gridCol w:w="4205"/>
              <w:gridCol w:w="1976"/>
              <w:gridCol w:w="2959"/>
            </w:tblGrid>
            <w:tr w:rsidR="00CC04D0" w:rsidRPr="00256BEE" w:rsidTr="00383C10">
              <w:tc>
                <w:tcPr>
                  <w:tcW w:w="4205" w:type="dxa"/>
                </w:tcPr>
                <w:p w:rsidR="00CC04D0" w:rsidRPr="00256BEE" w:rsidRDefault="00CC04D0" w:rsidP="00383C1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1976" w:type="dxa"/>
                </w:tcPr>
                <w:p w:rsidR="00CC04D0" w:rsidRPr="00256BEE" w:rsidRDefault="00CC04D0" w:rsidP="00383C1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59" w:type="dxa"/>
                </w:tcPr>
                <w:p w:rsidR="00CC04D0" w:rsidRPr="00256BEE" w:rsidRDefault="00CC04D0" w:rsidP="00383C1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proofErr w:type="spellStart"/>
                  <w:r w:rsidRPr="00256BEE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I.Benga</w:t>
                  </w:r>
                  <w:proofErr w:type="spellEnd"/>
                </w:p>
              </w:tc>
            </w:tr>
            <w:tr w:rsidR="00CC04D0" w:rsidRPr="00256BEE" w:rsidTr="00383C10">
              <w:tc>
                <w:tcPr>
                  <w:tcW w:w="4205" w:type="dxa"/>
                </w:tcPr>
                <w:p w:rsidR="00CC04D0" w:rsidRPr="00256BEE" w:rsidRDefault="00CC04D0" w:rsidP="00383C1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976" w:type="dxa"/>
                </w:tcPr>
                <w:p w:rsidR="00CC04D0" w:rsidRPr="00256BEE" w:rsidRDefault="00CC04D0" w:rsidP="00383C1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59" w:type="dxa"/>
                </w:tcPr>
                <w:p w:rsidR="00CC04D0" w:rsidRPr="00256BEE" w:rsidRDefault="00CC04D0" w:rsidP="00383C1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CC04D0" w:rsidRPr="0088057D" w:rsidTr="00383C10">
              <w:tc>
                <w:tcPr>
                  <w:tcW w:w="4205" w:type="dxa"/>
                </w:tcPr>
                <w:p w:rsidR="00CC04D0" w:rsidRPr="00256BEE" w:rsidRDefault="00CC04D0" w:rsidP="00383C1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  <w:p w:rsidR="00CC04D0" w:rsidRPr="00256BEE" w:rsidRDefault="00CC04D0" w:rsidP="00383C1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256BEE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1976" w:type="dxa"/>
                </w:tcPr>
                <w:p w:rsidR="00CC04D0" w:rsidRPr="00256BEE" w:rsidRDefault="00CC04D0" w:rsidP="00383C10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59" w:type="dxa"/>
                </w:tcPr>
                <w:p w:rsidR="00CC04D0" w:rsidRPr="00256BEE" w:rsidRDefault="00CC04D0" w:rsidP="00383C10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  <w:p w:rsidR="00256BEE" w:rsidRPr="00256BEE" w:rsidRDefault="00256BEE" w:rsidP="00256BEE">
                  <w:pPr>
                    <w:spacing w:line="360" w:lineRule="auto"/>
                    <w:jc w:val="right"/>
                    <w:rPr>
                      <w:sz w:val="22"/>
                      <w:szCs w:val="22"/>
                      <w:lang w:val="lv-LV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lv-LV"/>
                    </w:rPr>
                    <w:t>M.</w:t>
                  </w:r>
                  <w:r w:rsidRPr="00256BEE">
                    <w:rPr>
                      <w:sz w:val="22"/>
                      <w:szCs w:val="22"/>
                      <w:lang w:val="lv-LV"/>
                    </w:rPr>
                    <w:t>Zemītis</w:t>
                  </w:r>
                  <w:proofErr w:type="spellEnd"/>
                </w:p>
                <w:p w:rsidR="00256BEE" w:rsidRPr="00256BEE" w:rsidRDefault="00256BEE" w:rsidP="00256BEE">
                  <w:pPr>
                    <w:spacing w:line="360" w:lineRule="auto"/>
                    <w:jc w:val="right"/>
                    <w:rPr>
                      <w:sz w:val="22"/>
                      <w:szCs w:val="22"/>
                      <w:lang w:val="lv-LV"/>
                    </w:rPr>
                  </w:pPr>
                </w:p>
                <w:p w:rsidR="00256BEE" w:rsidRDefault="00256BEE" w:rsidP="00256BEE">
                  <w:pPr>
                    <w:spacing w:line="360" w:lineRule="auto"/>
                    <w:jc w:val="right"/>
                    <w:rPr>
                      <w:sz w:val="22"/>
                      <w:szCs w:val="22"/>
                      <w:lang w:val="lv-LV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lv-LV"/>
                    </w:rPr>
                    <w:t>S.</w:t>
                  </w:r>
                  <w:r w:rsidRPr="00256BEE">
                    <w:rPr>
                      <w:sz w:val="22"/>
                      <w:szCs w:val="22"/>
                      <w:lang w:val="lv-LV"/>
                    </w:rPr>
                    <w:t>Kārkliņš</w:t>
                  </w:r>
                  <w:proofErr w:type="spellEnd"/>
                </w:p>
                <w:p w:rsidR="00256BEE" w:rsidRPr="00256BEE" w:rsidRDefault="00256BEE" w:rsidP="00256BEE">
                  <w:pPr>
                    <w:spacing w:line="360" w:lineRule="auto"/>
                    <w:jc w:val="right"/>
                    <w:rPr>
                      <w:sz w:val="22"/>
                      <w:szCs w:val="22"/>
                      <w:lang w:val="lv-LV"/>
                    </w:rPr>
                  </w:pPr>
                </w:p>
                <w:p w:rsidR="00CC04D0" w:rsidRPr="00256BEE" w:rsidRDefault="00256BEE" w:rsidP="00256BEE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lv-LV"/>
                    </w:rPr>
                    <w:t>J.</w:t>
                  </w:r>
                  <w:r w:rsidRPr="00256BEE">
                    <w:rPr>
                      <w:sz w:val="22"/>
                      <w:szCs w:val="22"/>
                      <w:lang w:val="lv-LV"/>
                    </w:rPr>
                    <w:t>Korhs</w:t>
                  </w:r>
                  <w:proofErr w:type="spellEnd"/>
                </w:p>
              </w:tc>
            </w:tr>
          </w:tbl>
          <w:p w:rsidR="00CC04D0" w:rsidRPr="00256BEE" w:rsidRDefault="00CC04D0" w:rsidP="00383C10">
            <w:pPr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CC04D0" w:rsidRPr="009220A4" w:rsidRDefault="00CC04D0" w:rsidP="00383C10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</w:tbl>
    <w:p w:rsidR="00CC04D0" w:rsidRPr="0021165A" w:rsidRDefault="00CC04D0" w:rsidP="009220A4">
      <w:pPr>
        <w:jc w:val="both"/>
        <w:rPr>
          <w:sz w:val="22"/>
          <w:szCs w:val="22"/>
          <w:lang w:val="lv-LV"/>
        </w:rPr>
      </w:pPr>
    </w:p>
    <w:sectPr w:rsidR="00CC04D0" w:rsidRPr="0021165A" w:rsidSect="006F082A">
      <w:pgSz w:w="11906" w:h="16838"/>
      <w:pgMar w:top="630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31620E"/>
    <w:multiLevelType w:val="multilevel"/>
    <w:tmpl w:val="2C2859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2D4370"/>
    <w:multiLevelType w:val="multilevel"/>
    <w:tmpl w:val="FA7E5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0"/>
    <w:rsid w:val="0021165A"/>
    <w:rsid w:val="00212DBE"/>
    <w:rsid w:val="00256BEE"/>
    <w:rsid w:val="0088057D"/>
    <w:rsid w:val="009220A4"/>
    <w:rsid w:val="009C2989"/>
    <w:rsid w:val="00B57929"/>
    <w:rsid w:val="00CC04D0"/>
    <w:rsid w:val="00CE0174"/>
    <w:rsid w:val="00D847C1"/>
    <w:rsid w:val="00D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B7FA3"/>
  <w15:chartTrackingRefBased/>
  <w15:docId w15:val="{9E2A27BB-B94D-4BEE-99E4-D09A8DE8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CC04D0"/>
    <w:pPr>
      <w:ind w:left="720"/>
      <w:contextualSpacing/>
    </w:p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CC04D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C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4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4</cp:revision>
  <cp:lastPrinted>2017-01-09T12:56:00Z</cp:lastPrinted>
  <dcterms:created xsi:type="dcterms:W3CDTF">2016-07-07T07:13:00Z</dcterms:created>
  <dcterms:modified xsi:type="dcterms:W3CDTF">2017-01-09T12:59:00Z</dcterms:modified>
</cp:coreProperties>
</file>