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5806F6" w:rsidRPr="005400EE" w:rsidRDefault="00200BF4" w:rsidP="005806F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procedūras</w:t>
            </w:r>
          </w:p>
          <w:p w:rsidR="005806F6" w:rsidRPr="00220520" w:rsidRDefault="005806F6" w:rsidP="00AF2C31">
            <w:pPr>
              <w:jc w:val="center"/>
              <w:rPr>
                <w:b/>
                <w:lang w:eastAsia="x-none"/>
              </w:rPr>
            </w:pPr>
            <w:r w:rsidRPr="00220520">
              <w:rPr>
                <w:b/>
              </w:rPr>
              <w:t>“</w:t>
            </w:r>
            <w:r w:rsidR="00200BF4" w:rsidRPr="00200BF4">
              <w:rPr>
                <w:b/>
                <w:bCs/>
                <w:lang w:val="lv-LV"/>
              </w:rPr>
              <w:t>3D skenēšanas un modelēšanas pakalpojumi</w:t>
            </w:r>
            <w:r w:rsidRPr="00220520">
              <w:rPr>
                <w:b/>
              </w:rPr>
              <w:t>”</w:t>
            </w:r>
          </w:p>
          <w:p w:rsidR="005806F6" w:rsidRPr="005400EE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(id</w:t>
            </w:r>
            <w:r w:rsidR="004710AE">
              <w:rPr>
                <w:sz w:val="22"/>
                <w:szCs w:val="22"/>
                <w:lang w:val="lv-LV"/>
              </w:rPr>
              <w:t>entifikācijas Nr. RTU – 2015/167</w:t>
            </w:r>
            <w:bookmarkStart w:id="0" w:name="_GoBack"/>
            <w:bookmarkEnd w:id="0"/>
            <w:r w:rsidRPr="005400EE">
              <w:rPr>
                <w:sz w:val="22"/>
                <w:szCs w:val="22"/>
                <w:lang w:val="lv-LV"/>
              </w:rPr>
              <w:t>)</w:t>
            </w:r>
          </w:p>
          <w:p w:rsidR="005806F6" w:rsidRPr="005400EE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02DDE" w:rsidRPr="005400EE" w:rsidRDefault="00200BF4" w:rsidP="00F02DD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EF30E8">
            <w:pPr>
              <w:rPr>
                <w:sz w:val="22"/>
                <w:szCs w:val="22"/>
                <w:lang w:val="lv-LV"/>
              </w:rPr>
            </w:pPr>
          </w:p>
          <w:p w:rsidR="00EF30E8" w:rsidRPr="005400EE" w:rsidRDefault="00EF30E8" w:rsidP="00EF30E8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Rīgā, Kaļ</w:t>
            </w:r>
            <w:r w:rsidR="00875176" w:rsidRPr="005400EE">
              <w:rPr>
                <w:sz w:val="22"/>
                <w:szCs w:val="22"/>
                <w:lang w:val="lv-LV"/>
              </w:rPr>
              <w:t>ķ</w:t>
            </w:r>
            <w:r w:rsidR="00200BF4">
              <w:rPr>
                <w:sz w:val="22"/>
                <w:szCs w:val="22"/>
                <w:lang w:val="lv-LV"/>
              </w:rPr>
              <w:t>u ielā 1 – 322. telpā, plkst. 10:3</w:t>
            </w:r>
            <w:r w:rsidRPr="005400EE">
              <w:rPr>
                <w:sz w:val="22"/>
                <w:szCs w:val="22"/>
                <w:lang w:val="lv-LV"/>
              </w:rPr>
              <w:t xml:space="preserve">0                                                                              </w:t>
            </w:r>
            <w:r w:rsidR="00705EA6" w:rsidRPr="005400EE">
              <w:rPr>
                <w:sz w:val="22"/>
                <w:szCs w:val="22"/>
                <w:lang w:val="lv-LV"/>
              </w:rPr>
              <w:t xml:space="preserve">      </w:t>
            </w:r>
            <w:r w:rsidRPr="005400EE">
              <w:rPr>
                <w:sz w:val="22"/>
                <w:szCs w:val="22"/>
                <w:lang w:val="lv-LV"/>
              </w:rPr>
              <w:t xml:space="preserve">     </w:t>
            </w:r>
            <w:r w:rsidR="00200BF4">
              <w:rPr>
                <w:sz w:val="22"/>
                <w:szCs w:val="22"/>
                <w:lang w:val="lv-LV"/>
              </w:rPr>
              <w:t>05.11</w:t>
            </w:r>
            <w:r w:rsidR="005400EE" w:rsidRPr="005400EE">
              <w:rPr>
                <w:sz w:val="22"/>
                <w:szCs w:val="22"/>
                <w:lang w:val="lv-LV"/>
              </w:rPr>
              <w:t>.2015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EF30E8">
                  <w:pPr>
                    <w:rPr>
                      <w:sz w:val="22"/>
                      <w:szCs w:val="22"/>
                    </w:rPr>
                  </w:pPr>
                  <w:r w:rsidRPr="005400EE">
                    <w:rPr>
                      <w:rStyle w:val="c1"/>
                      <w:sz w:val="22"/>
                      <w:szCs w:val="22"/>
                    </w:rPr>
                    <w:t>Jevgēnijs Gramsts</w:t>
                  </w:r>
                  <w:r w:rsidR="00EF30E8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Juridiskā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depar</w:t>
                  </w:r>
                  <w:r w:rsidR="00E72B0D" w:rsidRPr="005400EE">
                    <w:rPr>
                      <w:rStyle w:val="c1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speciālists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5400EE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5400EE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locekļi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00BF4" w:rsidRPr="005400EE" w:rsidTr="00047318">
              <w:tc>
                <w:tcPr>
                  <w:tcW w:w="3085" w:type="dxa"/>
                </w:tcPr>
                <w:p w:rsidR="00200BF4" w:rsidRPr="00200BF4" w:rsidRDefault="00200BF4" w:rsidP="00200BF4">
                  <w:pPr>
                    <w:rPr>
                      <w:sz w:val="22"/>
                      <w:szCs w:val="22"/>
                    </w:rPr>
                  </w:pPr>
                  <w:r w:rsidRPr="00200BF4">
                    <w:rPr>
                      <w:sz w:val="22"/>
                      <w:szCs w:val="22"/>
                    </w:rPr>
                    <w:t>Egīls Dzelzītis</w:t>
                  </w:r>
                </w:p>
              </w:tc>
              <w:tc>
                <w:tcPr>
                  <w:tcW w:w="6379" w:type="dxa"/>
                </w:tcPr>
                <w:p w:rsidR="00200BF4" w:rsidRPr="00200BF4" w:rsidRDefault="00200BF4" w:rsidP="00200BF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00BF4">
                    <w:rPr>
                      <w:sz w:val="22"/>
                      <w:szCs w:val="22"/>
                    </w:rPr>
                    <w:t>Siltuma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inženierijas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un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tehnoloģijas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katedras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  <w:tr w:rsidR="00200BF4" w:rsidRPr="005400EE" w:rsidTr="00047318">
              <w:tc>
                <w:tcPr>
                  <w:tcW w:w="3085" w:type="dxa"/>
                </w:tcPr>
                <w:p w:rsidR="00200BF4" w:rsidRPr="00200BF4" w:rsidRDefault="00200BF4" w:rsidP="00200BF4">
                  <w:pPr>
                    <w:rPr>
                      <w:sz w:val="22"/>
                      <w:szCs w:val="22"/>
                    </w:rPr>
                  </w:pPr>
                  <w:r w:rsidRPr="00200BF4">
                    <w:rPr>
                      <w:sz w:val="22"/>
                      <w:szCs w:val="22"/>
                    </w:rPr>
                    <w:t>Lita Lazdiņa</w:t>
                  </w:r>
                </w:p>
              </w:tc>
              <w:tc>
                <w:tcPr>
                  <w:tcW w:w="6379" w:type="dxa"/>
                </w:tcPr>
                <w:p w:rsidR="00200BF4" w:rsidRPr="00200BF4" w:rsidRDefault="00200BF4" w:rsidP="00200BF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00BF4">
                    <w:rPr>
                      <w:sz w:val="22"/>
                      <w:szCs w:val="22"/>
                    </w:rPr>
                    <w:t>Zinātniskās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darbības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nodaļas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00BF4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00BF4">
                    <w:rPr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</w:tbl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5400EE" w:rsidRPr="005400EE">
              <w:rPr>
                <w:sz w:val="22"/>
                <w:szCs w:val="22"/>
                <w:lang w:val="lv-LV"/>
              </w:rPr>
              <w:t>finanšu prorektora</w:t>
            </w: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 w:rsidR="005400EE" w:rsidRPr="005400EE">
              <w:rPr>
                <w:sz w:val="22"/>
                <w:szCs w:val="22"/>
              </w:rPr>
              <w:t>2015</w:t>
            </w:r>
            <w:r w:rsidRPr="005400EE">
              <w:rPr>
                <w:sz w:val="22"/>
                <w:szCs w:val="22"/>
              </w:rPr>
              <w:t xml:space="preserve">. </w:t>
            </w:r>
            <w:proofErr w:type="spellStart"/>
            <w:r w:rsidRPr="005400EE">
              <w:rPr>
                <w:sz w:val="22"/>
                <w:szCs w:val="22"/>
              </w:rPr>
              <w:t>gada</w:t>
            </w:r>
            <w:proofErr w:type="spellEnd"/>
            <w:r w:rsidRPr="005400EE">
              <w:rPr>
                <w:sz w:val="22"/>
                <w:szCs w:val="22"/>
              </w:rPr>
              <w:t xml:space="preserve"> </w:t>
            </w:r>
            <w:r w:rsidR="0006339B">
              <w:rPr>
                <w:sz w:val="22"/>
                <w:szCs w:val="22"/>
              </w:rPr>
              <w:t>14</w:t>
            </w:r>
            <w:r w:rsidR="00F53E95"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6339B">
              <w:rPr>
                <w:sz w:val="22"/>
                <w:szCs w:val="22"/>
              </w:rPr>
              <w:t>oktobra</w:t>
            </w:r>
            <w:proofErr w:type="spellEnd"/>
            <w:proofErr w:type="gramEnd"/>
            <w:r w:rsidR="0006339B">
              <w:rPr>
                <w:sz w:val="22"/>
                <w:szCs w:val="22"/>
              </w:rPr>
              <w:t xml:space="preserve"> </w:t>
            </w:r>
            <w:proofErr w:type="spellStart"/>
            <w:r w:rsidR="0006339B">
              <w:rPr>
                <w:sz w:val="22"/>
                <w:szCs w:val="22"/>
              </w:rPr>
              <w:t>rīkojumu</w:t>
            </w:r>
            <w:proofErr w:type="spellEnd"/>
            <w:r w:rsidR="0006339B">
              <w:rPr>
                <w:sz w:val="22"/>
                <w:szCs w:val="22"/>
              </w:rPr>
              <w:t xml:space="preserve"> </w:t>
            </w:r>
            <w:proofErr w:type="spellStart"/>
            <w:r w:rsidR="0006339B">
              <w:rPr>
                <w:sz w:val="22"/>
                <w:szCs w:val="22"/>
              </w:rPr>
              <w:t>Nr</w:t>
            </w:r>
            <w:proofErr w:type="spellEnd"/>
            <w:r w:rsidR="0006339B">
              <w:rPr>
                <w:sz w:val="22"/>
                <w:szCs w:val="22"/>
              </w:rPr>
              <w:t>. 03000-1/217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5806F6" w:rsidRPr="005400EE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532E7F" w:rsidRPr="005400EE" w:rsidRDefault="00532E7F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087334" w:rsidRDefault="00087334" w:rsidP="00F53E9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087334">
              <w:rPr>
                <w:b/>
                <w:sz w:val="22"/>
                <w:szCs w:val="22"/>
                <w:lang w:val="lv-LV"/>
              </w:rPr>
              <w:t>Dienas</w:t>
            </w:r>
            <w:r w:rsidR="00F53E95" w:rsidRPr="00087334">
              <w:rPr>
                <w:b/>
                <w:sz w:val="22"/>
                <w:szCs w:val="22"/>
                <w:lang w:val="lv-LV"/>
              </w:rPr>
              <w:t xml:space="preserve"> kārtībā</w:t>
            </w:r>
          </w:p>
          <w:p w:rsidR="00F53E95" w:rsidRPr="005400EE" w:rsidRDefault="00D7102B" w:rsidP="00F53E9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J.Gramsta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informācija</w:t>
            </w:r>
            <w:r w:rsidR="00F53E95" w:rsidRPr="005400EE">
              <w:rPr>
                <w:sz w:val="22"/>
                <w:szCs w:val="22"/>
                <w:lang w:val="lv-LV"/>
              </w:rPr>
              <w:t>.</w:t>
            </w:r>
          </w:p>
          <w:p w:rsidR="00F53E95" w:rsidRPr="005400EE" w:rsidRDefault="00F53E95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87334" w:rsidRPr="00200BF4" w:rsidRDefault="00F53E95" w:rsidP="00200BF4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087334">
              <w:rPr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87334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087334">
              <w:rPr>
                <w:sz w:val="22"/>
                <w:szCs w:val="22"/>
                <w:lang w:val="lv-LV"/>
              </w:rPr>
              <w:t xml:space="preserve"> informē, ka </w:t>
            </w:r>
            <w:r w:rsidR="00200BF4">
              <w:rPr>
                <w:sz w:val="22"/>
                <w:szCs w:val="22"/>
                <w:lang w:val="lv-LV"/>
              </w:rPr>
              <w:t xml:space="preserve">04.11.2015. no iespējamā pretendenta ir saņemts jautājums par iepirkuma Nolikuma 2.pielikumu (Tehniskā specifikācija). </w:t>
            </w:r>
          </w:p>
          <w:p w:rsidR="00200BF4" w:rsidRDefault="00200BF4" w:rsidP="00200BF4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Komisijas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locekļi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iepazīstas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iespējamā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pretendenta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uzdotā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jautājuma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saturu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apspriež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atbildes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projektu</w:t>
            </w:r>
            <w:proofErr w:type="spellEnd"/>
            <w:r>
              <w:rPr>
                <w:sz w:val="22"/>
                <w:szCs w:val="22"/>
              </w:rPr>
              <w:t xml:space="preserve"> un </w:t>
            </w:r>
            <w:proofErr w:type="spellStart"/>
            <w:r>
              <w:rPr>
                <w:sz w:val="22"/>
                <w:szCs w:val="22"/>
              </w:rPr>
              <w:t>vienbalsīgi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nolemj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sniegt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šādu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atbildi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200BF4" w:rsidRPr="001F1C22" w:rsidRDefault="00200BF4" w:rsidP="00200BF4">
            <w:pPr>
              <w:pStyle w:val="ListParagraph"/>
              <w:ind w:left="405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F1C22">
              <w:rPr>
                <w:b/>
                <w:sz w:val="20"/>
                <w:szCs w:val="20"/>
                <w:u w:val="single"/>
              </w:rPr>
              <w:t>Jautājums</w:t>
            </w:r>
            <w:proofErr w:type="spellEnd"/>
            <w:r w:rsidRPr="001F1C22">
              <w:rPr>
                <w:b/>
                <w:sz w:val="20"/>
                <w:szCs w:val="20"/>
                <w:u w:val="single"/>
              </w:rPr>
              <w:t xml:space="preserve">: </w:t>
            </w:r>
          </w:p>
          <w:p w:rsidR="001F1C22" w:rsidRPr="001F1C22" w:rsidRDefault="001F1C22" w:rsidP="001F1C22">
            <w:pPr>
              <w:pStyle w:val="ListParagraph"/>
              <w:ind w:left="405"/>
              <w:jc w:val="both"/>
              <w:rPr>
                <w:sz w:val="20"/>
                <w:szCs w:val="20"/>
                <w:lang w:val="lv-LV"/>
              </w:rPr>
            </w:pPr>
            <w:r w:rsidRPr="001F1C22">
              <w:rPr>
                <w:sz w:val="20"/>
                <w:szCs w:val="20"/>
                <w:lang w:val="lv-LV"/>
              </w:rPr>
              <w:t xml:space="preserve">Saskaņā ar Publiskā iepirkuma likuma 30. panta otro daļu, lūdzam izņemt no Iepirkuma  “3D skenēšanas un modelēšanas pakalpojumi” ID Nr. RTU-2015/167 (turpmāk –Iepirkums) Tehniskās specifikācijas IV “Pakalpojuma īstenošanā izmantojamās metodes” sadaļas 2. punktu “Iespēja veikt vienlaikus fotografēšanu un punktu mākoņa vizualizēšanu </w:t>
            </w:r>
            <w:proofErr w:type="spellStart"/>
            <w:r w:rsidRPr="001F1C22">
              <w:rPr>
                <w:sz w:val="20"/>
                <w:szCs w:val="20"/>
                <w:lang w:val="lv-LV"/>
              </w:rPr>
              <w:t>web</w:t>
            </w:r>
            <w:proofErr w:type="spellEnd"/>
            <w:r w:rsidRPr="001F1C22">
              <w:rPr>
                <w:sz w:val="20"/>
                <w:szCs w:val="20"/>
                <w:lang w:val="lv-LV"/>
              </w:rPr>
              <w:t xml:space="preserve"> pārlūkā”.</w:t>
            </w:r>
          </w:p>
          <w:p w:rsidR="001F1C22" w:rsidRPr="001F1C22" w:rsidRDefault="001F1C22" w:rsidP="001F1C22">
            <w:pPr>
              <w:pStyle w:val="ListParagraph"/>
              <w:ind w:left="405"/>
              <w:jc w:val="both"/>
              <w:rPr>
                <w:sz w:val="20"/>
                <w:szCs w:val="20"/>
                <w:lang w:val="lv-LV"/>
              </w:rPr>
            </w:pPr>
            <w:r w:rsidRPr="001F1C22">
              <w:rPr>
                <w:sz w:val="20"/>
                <w:szCs w:val="20"/>
                <w:lang w:val="lv-LV"/>
              </w:rPr>
              <w:t>Šo punktu lūdzam izslēgt sakarā ar to, ka šāda prasība nepamatoti ierobežo konkurenci un šāda prasība nekādā veidā neietekmē nepieciešamo pakalpojuma sniegšanas rezultātu.</w:t>
            </w:r>
          </w:p>
          <w:p w:rsidR="00200BF4" w:rsidRPr="001F1C22" w:rsidRDefault="001F1C22" w:rsidP="00200BF4">
            <w:pPr>
              <w:pStyle w:val="ListParagraph"/>
              <w:ind w:left="405"/>
              <w:jc w:val="both"/>
              <w:rPr>
                <w:b/>
                <w:sz w:val="20"/>
                <w:szCs w:val="20"/>
                <w:u w:val="single"/>
              </w:rPr>
            </w:pPr>
            <w:proofErr w:type="spellStart"/>
            <w:r w:rsidRPr="001F1C22">
              <w:rPr>
                <w:b/>
                <w:sz w:val="20"/>
                <w:szCs w:val="20"/>
                <w:u w:val="single"/>
              </w:rPr>
              <w:t>Atbilde</w:t>
            </w:r>
            <w:proofErr w:type="spellEnd"/>
            <w:r w:rsidRPr="001F1C22">
              <w:rPr>
                <w:b/>
                <w:sz w:val="20"/>
                <w:szCs w:val="20"/>
                <w:u w:val="single"/>
              </w:rPr>
              <w:t>:</w:t>
            </w:r>
          </w:p>
          <w:p w:rsidR="001F1C22" w:rsidRPr="001F1C22" w:rsidRDefault="001F1C22" w:rsidP="00200BF4">
            <w:pPr>
              <w:pStyle w:val="ListParagraph"/>
              <w:ind w:left="405"/>
              <w:jc w:val="both"/>
              <w:rPr>
                <w:sz w:val="20"/>
                <w:szCs w:val="20"/>
              </w:rPr>
            </w:pPr>
            <w:proofErr w:type="spellStart"/>
            <w:r w:rsidRPr="001F1C22">
              <w:rPr>
                <w:sz w:val="20"/>
                <w:szCs w:val="20"/>
              </w:rPr>
              <w:t>Iepirkuma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priekšmeta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Tehniskajā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specifikācijā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iekļautā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prasība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r w:rsidR="007E75CA">
              <w:rPr>
                <w:sz w:val="20"/>
                <w:szCs w:val="20"/>
              </w:rPr>
              <w:t>“</w:t>
            </w:r>
            <w:proofErr w:type="spellStart"/>
            <w:r w:rsidRPr="001F1C22">
              <w:rPr>
                <w:sz w:val="20"/>
                <w:szCs w:val="20"/>
              </w:rPr>
              <w:t>veikt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vienlaikus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fotografēšanu</w:t>
            </w:r>
            <w:proofErr w:type="spellEnd"/>
            <w:r w:rsidRPr="001F1C22">
              <w:rPr>
                <w:sz w:val="20"/>
                <w:szCs w:val="20"/>
              </w:rPr>
              <w:t xml:space="preserve"> un </w:t>
            </w:r>
            <w:proofErr w:type="spellStart"/>
            <w:r w:rsidRPr="001F1C22">
              <w:rPr>
                <w:sz w:val="20"/>
                <w:szCs w:val="20"/>
              </w:rPr>
              <w:t>punktu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mākoņa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vizualizēšanu</w:t>
            </w:r>
            <w:proofErr w:type="spellEnd"/>
            <w:r w:rsidRPr="001F1C22">
              <w:rPr>
                <w:sz w:val="20"/>
                <w:szCs w:val="20"/>
              </w:rPr>
              <w:t xml:space="preserve"> web </w:t>
            </w:r>
            <w:proofErr w:type="spellStart"/>
            <w:r w:rsidRPr="001F1C22">
              <w:rPr>
                <w:sz w:val="20"/>
                <w:szCs w:val="20"/>
              </w:rPr>
              <w:t>pārlūkā</w:t>
            </w:r>
            <w:proofErr w:type="spellEnd"/>
            <w:r w:rsidR="007E75CA">
              <w:rPr>
                <w:sz w:val="20"/>
                <w:szCs w:val="20"/>
              </w:rPr>
              <w:t>”</w:t>
            </w:r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ir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nepieciešama</w:t>
            </w:r>
            <w:proofErr w:type="spellEnd"/>
            <w:r w:rsidRPr="001F1C22">
              <w:rPr>
                <w:sz w:val="20"/>
                <w:szCs w:val="20"/>
              </w:rPr>
              <w:t xml:space="preserve">, </w:t>
            </w:r>
            <w:proofErr w:type="spellStart"/>
            <w:r w:rsidRPr="001F1C22">
              <w:rPr>
                <w:sz w:val="20"/>
                <w:szCs w:val="20"/>
              </w:rPr>
              <w:t>lai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papildus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nebūtu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nepieciešams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iegādāties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speciālo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programmatūru</w:t>
            </w:r>
            <w:proofErr w:type="spellEnd"/>
            <w:r w:rsidRPr="001F1C22">
              <w:rPr>
                <w:sz w:val="20"/>
                <w:szCs w:val="20"/>
              </w:rPr>
              <w:t xml:space="preserve">. </w:t>
            </w:r>
            <w:proofErr w:type="spellStart"/>
            <w:r w:rsidRPr="001F1C22">
              <w:rPr>
                <w:sz w:val="20"/>
                <w:szCs w:val="20"/>
              </w:rPr>
              <w:t>Tādā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veidā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minētā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prasība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nodrošina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visu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projekta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starptautisko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partneru</w:t>
            </w:r>
            <w:proofErr w:type="spellEnd"/>
            <w:r w:rsidRPr="001F1C22">
              <w:rPr>
                <w:sz w:val="20"/>
                <w:szCs w:val="20"/>
              </w:rPr>
              <w:t> </w:t>
            </w:r>
            <w:proofErr w:type="spellStart"/>
            <w:r w:rsidRPr="001F1C22">
              <w:rPr>
                <w:sz w:val="20"/>
                <w:szCs w:val="20"/>
              </w:rPr>
              <w:t>pieeju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ēku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modelim</w:t>
            </w:r>
            <w:proofErr w:type="spellEnd"/>
            <w:r w:rsidRPr="001F1C22">
              <w:rPr>
                <w:sz w:val="20"/>
                <w:szCs w:val="20"/>
              </w:rPr>
              <w:t xml:space="preserve"> un </w:t>
            </w:r>
            <w:proofErr w:type="spellStart"/>
            <w:r w:rsidRPr="001F1C22">
              <w:rPr>
                <w:sz w:val="20"/>
                <w:szCs w:val="20"/>
              </w:rPr>
              <w:t>dod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iespēju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veikt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nepaciešamos</w:t>
            </w:r>
            <w:proofErr w:type="spellEnd"/>
            <w:r w:rsidRPr="001F1C22">
              <w:rPr>
                <w:sz w:val="20"/>
                <w:szCs w:val="20"/>
              </w:rPr>
              <w:t xml:space="preserve"> </w:t>
            </w:r>
            <w:proofErr w:type="spellStart"/>
            <w:r w:rsidRPr="001F1C22">
              <w:rPr>
                <w:sz w:val="20"/>
                <w:szCs w:val="20"/>
              </w:rPr>
              <w:t>mērījumus</w:t>
            </w:r>
            <w:proofErr w:type="spellEnd"/>
            <w:r w:rsidRPr="001F1C22">
              <w:rPr>
                <w:sz w:val="20"/>
                <w:szCs w:val="20"/>
              </w:rPr>
              <w:t xml:space="preserve">. </w:t>
            </w:r>
          </w:p>
          <w:p w:rsidR="001F1C22" w:rsidRPr="00200BF4" w:rsidRDefault="001F1C22" w:rsidP="00200BF4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F53E95" w:rsidRDefault="00D22C2A" w:rsidP="00D22C2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Komisija uzdod </w:t>
            </w:r>
            <w:proofErr w:type="spellStart"/>
            <w:r>
              <w:rPr>
                <w:sz w:val="22"/>
                <w:szCs w:val="22"/>
                <w:lang w:val="lv-LV"/>
              </w:rPr>
              <w:t>J.Gramstam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informēt iespējamo</w:t>
            </w:r>
            <w:r w:rsidR="00A00AE5">
              <w:rPr>
                <w:sz w:val="22"/>
                <w:szCs w:val="22"/>
                <w:lang w:val="lv-LV"/>
              </w:rPr>
              <w:t>s</w:t>
            </w:r>
            <w:r>
              <w:rPr>
                <w:sz w:val="22"/>
                <w:szCs w:val="22"/>
                <w:lang w:val="lv-LV"/>
              </w:rPr>
              <w:t xml:space="preserve"> pretendentu</w:t>
            </w:r>
            <w:r w:rsidR="00A00AE5">
              <w:rPr>
                <w:sz w:val="22"/>
                <w:szCs w:val="22"/>
                <w:lang w:val="lv-LV"/>
              </w:rPr>
              <w:t>s</w:t>
            </w:r>
            <w:r>
              <w:rPr>
                <w:sz w:val="22"/>
                <w:szCs w:val="22"/>
                <w:lang w:val="lv-LV"/>
              </w:rPr>
              <w:t xml:space="preserve"> pa</w:t>
            </w:r>
            <w:r w:rsidR="00A00AE5">
              <w:rPr>
                <w:sz w:val="22"/>
                <w:szCs w:val="22"/>
                <w:lang w:val="lv-LV"/>
              </w:rPr>
              <w:t>r iepirkuma komisijas sniegto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="00A00AE5">
              <w:rPr>
                <w:sz w:val="22"/>
                <w:szCs w:val="22"/>
                <w:lang w:val="lv-LV"/>
              </w:rPr>
              <w:t>skaidrojumu</w:t>
            </w:r>
            <w:r w:rsidR="0027388D">
              <w:rPr>
                <w:sz w:val="22"/>
                <w:szCs w:val="22"/>
                <w:lang w:val="lv-LV"/>
              </w:rPr>
              <w:t xml:space="preserve">, </w:t>
            </w:r>
            <w:r>
              <w:rPr>
                <w:sz w:val="22"/>
                <w:szCs w:val="22"/>
                <w:lang w:val="lv-LV"/>
              </w:rPr>
              <w:t>publicē</w:t>
            </w:r>
            <w:r w:rsidR="0027388D">
              <w:rPr>
                <w:sz w:val="22"/>
                <w:szCs w:val="22"/>
                <w:lang w:val="lv-LV"/>
              </w:rPr>
              <w:t>jo</w:t>
            </w:r>
            <w:r>
              <w:rPr>
                <w:sz w:val="22"/>
                <w:szCs w:val="22"/>
                <w:lang w:val="lv-LV"/>
              </w:rPr>
              <w:t xml:space="preserve">t </w:t>
            </w:r>
            <w:r w:rsidR="0027388D">
              <w:rPr>
                <w:sz w:val="22"/>
                <w:szCs w:val="22"/>
                <w:lang w:val="lv-LV"/>
              </w:rPr>
              <w:t xml:space="preserve">informāciju </w:t>
            </w:r>
            <w:r>
              <w:rPr>
                <w:sz w:val="22"/>
                <w:szCs w:val="22"/>
                <w:lang w:val="lv-LV"/>
              </w:rPr>
              <w:t xml:space="preserve">Pasūtītāja mājaslapā </w:t>
            </w:r>
            <w:hyperlink r:id="rId7" w:history="1">
              <w:r w:rsidRPr="008E4615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>
              <w:rPr>
                <w:sz w:val="22"/>
                <w:szCs w:val="22"/>
                <w:lang w:val="lv-LV"/>
              </w:rPr>
              <w:t xml:space="preserve"> sadaļā “Iepirkumi”.</w:t>
            </w:r>
          </w:p>
          <w:p w:rsidR="00D22C2A" w:rsidRDefault="00D22C2A" w:rsidP="00D22C2A">
            <w:pPr>
              <w:pStyle w:val="ListParagraph"/>
              <w:ind w:left="405"/>
              <w:jc w:val="both"/>
              <w:rPr>
                <w:sz w:val="22"/>
                <w:szCs w:val="22"/>
                <w:lang w:val="lv-LV"/>
              </w:rPr>
            </w:pPr>
          </w:p>
          <w:p w:rsidR="00D22C2A" w:rsidRPr="005400EE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, plkst.1</w:t>
            </w:r>
            <w:r w:rsidR="001F1C22">
              <w:rPr>
                <w:sz w:val="22"/>
                <w:szCs w:val="22"/>
                <w:lang w:val="lv-LV"/>
              </w:rPr>
              <w:t>0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 w:rsidR="001F1C22">
              <w:rPr>
                <w:sz w:val="22"/>
                <w:szCs w:val="22"/>
                <w:lang w:val="lv-LV"/>
              </w:rPr>
              <w:t>40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D22C2A" w:rsidRPr="005400EE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D22C2A" w:rsidRPr="001F1C22" w:rsidRDefault="001F1C22" w:rsidP="00D22C2A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  <w:r w:rsidRPr="001F1C22">
              <w:rPr>
                <w:sz w:val="20"/>
                <w:szCs w:val="20"/>
                <w:u w:val="single"/>
                <w:lang w:val="lv-LV"/>
              </w:rPr>
              <w:t>Pielikumā:</w:t>
            </w:r>
          </w:p>
          <w:p w:rsidR="001F1C22" w:rsidRPr="001F1C22" w:rsidRDefault="001F1C22" w:rsidP="001F1C22">
            <w:pPr>
              <w:pStyle w:val="ListParagraph"/>
              <w:keepNext/>
              <w:keepLines/>
              <w:numPr>
                <w:ilvl w:val="0"/>
                <w:numId w:val="35"/>
              </w:numPr>
              <w:rPr>
                <w:sz w:val="20"/>
                <w:szCs w:val="20"/>
                <w:lang w:val="lv-LV"/>
              </w:rPr>
            </w:pPr>
            <w:r w:rsidRPr="001F1C22">
              <w:rPr>
                <w:sz w:val="20"/>
                <w:szCs w:val="20"/>
                <w:lang w:val="lv-LV"/>
              </w:rPr>
              <w:t>Iespējamā pretendenta 04.11.2015. vēstules Nr.3269/a/00-2015 kopija.</w:t>
            </w:r>
          </w:p>
          <w:p w:rsidR="001F1C22" w:rsidRPr="00D22C2A" w:rsidRDefault="001F1C22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Default="008B192B" w:rsidP="006B075E">
      <w:pPr>
        <w:jc w:val="both"/>
        <w:rPr>
          <w:sz w:val="22"/>
          <w:szCs w:val="22"/>
          <w:lang w:val="lv-LV"/>
        </w:rPr>
      </w:pPr>
    </w:p>
    <w:p w:rsidR="001F1C22" w:rsidRDefault="001F1C22" w:rsidP="006B075E">
      <w:pPr>
        <w:jc w:val="both"/>
        <w:rPr>
          <w:sz w:val="22"/>
          <w:szCs w:val="22"/>
          <w:lang w:val="lv-LV"/>
        </w:rPr>
      </w:pPr>
    </w:p>
    <w:p w:rsidR="001F1C22" w:rsidRPr="00A902A5" w:rsidRDefault="001F1C22" w:rsidP="006B075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________________</w:t>
      </w:r>
      <w:proofErr w:type="spellStart"/>
      <w:r>
        <w:rPr>
          <w:sz w:val="22"/>
          <w:szCs w:val="22"/>
          <w:lang w:val="lv-LV"/>
        </w:rPr>
        <w:t>J.Gramsts</w:t>
      </w:r>
      <w:proofErr w:type="spellEnd"/>
      <w:r>
        <w:rPr>
          <w:sz w:val="22"/>
          <w:szCs w:val="22"/>
          <w:lang w:val="lv-LV"/>
        </w:rPr>
        <w:t xml:space="preserve">                 ________________</w:t>
      </w:r>
      <w:proofErr w:type="spellStart"/>
      <w:r>
        <w:rPr>
          <w:sz w:val="22"/>
          <w:szCs w:val="22"/>
          <w:lang w:val="lv-LV"/>
        </w:rPr>
        <w:t>E.Dzelzītis</w:t>
      </w:r>
      <w:proofErr w:type="spellEnd"/>
      <w:r>
        <w:rPr>
          <w:sz w:val="22"/>
          <w:szCs w:val="22"/>
          <w:lang w:val="lv-LV"/>
        </w:rPr>
        <w:t xml:space="preserve">             _______________</w:t>
      </w:r>
      <w:proofErr w:type="spellStart"/>
      <w:r>
        <w:rPr>
          <w:sz w:val="22"/>
          <w:szCs w:val="22"/>
          <w:lang w:val="lv-LV"/>
        </w:rPr>
        <w:t>L.Lazdiņa</w:t>
      </w:r>
      <w:proofErr w:type="spellEnd"/>
    </w:p>
    <w:sectPr w:rsidR="001F1C22" w:rsidRPr="00A902A5" w:rsidSect="00977487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22" w:rsidRDefault="00186322" w:rsidP="004F6DA6">
      <w:r>
        <w:separator/>
      </w:r>
    </w:p>
  </w:endnote>
  <w:endnote w:type="continuationSeparator" w:id="0">
    <w:p w:rsidR="00186322" w:rsidRDefault="00186322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0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22" w:rsidRDefault="00186322" w:rsidP="004F6DA6">
      <w:r>
        <w:separator/>
      </w:r>
    </w:p>
  </w:footnote>
  <w:footnote w:type="continuationSeparator" w:id="0">
    <w:p w:rsidR="00186322" w:rsidRDefault="00186322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6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7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0532011"/>
    <w:multiLevelType w:val="hybridMultilevel"/>
    <w:tmpl w:val="1B76D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63541"/>
    <w:multiLevelType w:val="hybridMultilevel"/>
    <w:tmpl w:val="CF7EA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113BA"/>
    <w:multiLevelType w:val="multilevel"/>
    <w:tmpl w:val="F6525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0"/>
  </w:num>
  <w:num w:numId="7">
    <w:abstractNumId w:val="18"/>
  </w:num>
  <w:num w:numId="8">
    <w:abstractNumId w:val="31"/>
  </w:num>
  <w:num w:numId="9">
    <w:abstractNumId w:val="9"/>
  </w:num>
  <w:num w:numId="10">
    <w:abstractNumId w:val="29"/>
  </w:num>
  <w:num w:numId="11">
    <w:abstractNumId w:val="4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5"/>
  </w:num>
  <w:num w:numId="16">
    <w:abstractNumId w:val="7"/>
  </w:num>
  <w:num w:numId="17">
    <w:abstractNumId w:val="23"/>
  </w:num>
  <w:num w:numId="18">
    <w:abstractNumId w:val="12"/>
  </w:num>
  <w:num w:numId="19">
    <w:abstractNumId w:val="8"/>
  </w:num>
  <w:num w:numId="20">
    <w:abstractNumId w:val="19"/>
  </w:num>
  <w:num w:numId="21">
    <w:abstractNumId w:val="30"/>
  </w:num>
  <w:num w:numId="22">
    <w:abstractNumId w:val="26"/>
  </w:num>
  <w:num w:numId="23">
    <w:abstractNumId w:val="14"/>
  </w:num>
  <w:num w:numId="24">
    <w:abstractNumId w:val="16"/>
  </w:num>
  <w:num w:numId="25">
    <w:abstractNumId w:val="3"/>
  </w:num>
  <w:num w:numId="26">
    <w:abstractNumId w:val="2"/>
  </w:num>
  <w:num w:numId="27">
    <w:abstractNumId w:val="6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</w:num>
  <w:num w:numId="32">
    <w:abstractNumId w:val="5"/>
  </w:num>
  <w:num w:numId="33">
    <w:abstractNumId w:val="24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E96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39B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334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8E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27055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455C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6322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1C22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0BF4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88D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3DC3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00E"/>
    <w:rsid w:val="003A01E7"/>
    <w:rsid w:val="003A11DC"/>
    <w:rsid w:val="003A1892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36FDD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10AE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4B6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C49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25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2E7F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37BF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5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27F8B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E75CA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765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D0"/>
    <w:rsid w:val="009A3AE4"/>
    <w:rsid w:val="009A3CFE"/>
    <w:rsid w:val="009A4437"/>
    <w:rsid w:val="009A45B2"/>
    <w:rsid w:val="009A479A"/>
    <w:rsid w:val="009A5297"/>
    <w:rsid w:val="009A5590"/>
    <w:rsid w:val="009A6D11"/>
    <w:rsid w:val="009B0942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AE5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2C31"/>
    <w:rsid w:val="00AF4D8C"/>
    <w:rsid w:val="00AF4EAD"/>
    <w:rsid w:val="00AF4FD6"/>
    <w:rsid w:val="00AF59F5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48F8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C2A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02B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4B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572D7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08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4</cp:revision>
  <cp:lastPrinted>2014-12-11T11:12:00Z</cp:lastPrinted>
  <dcterms:created xsi:type="dcterms:W3CDTF">2015-11-05T08:36:00Z</dcterms:created>
  <dcterms:modified xsi:type="dcterms:W3CDTF">2015-11-10T13:09:00Z</dcterms:modified>
</cp:coreProperties>
</file>