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BB" w:rsidRPr="001743BB" w:rsidRDefault="001743BB" w:rsidP="001743BB">
      <w:pPr>
        <w:spacing w:before="120"/>
        <w:jc w:val="center"/>
        <w:rPr>
          <w:b/>
          <w:sz w:val="22"/>
          <w:szCs w:val="22"/>
          <w:lang w:val="lv-LV"/>
        </w:rPr>
      </w:pPr>
      <w:r w:rsidRPr="001743BB">
        <w:rPr>
          <w:bCs/>
          <w:sz w:val="22"/>
          <w:szCs w:val="22"/>
          <w:lang w:val="lv-LV"/>
        </w:rPr>
        <w:t>Atklāta konkursa</w:t>
      </w:r>
    </w:p>
    <w:p w:rsidR="00BE3EDA" w:rsidRPr="00BE3EDA" w:rsidRDefault="00BE3EDA" w:rsidP="00BE3EDA">
      <w:pPr>
        <w:pStyle w:val="Title"/>
        <w:spacing w:before="120"/>
        <w:rPr>
          <w:sz w:val="22"/>
          <w:szCs w:val="22"/>
          <w:lang w:val="lv-LV"/>
        </w:rPr>
      </w:pPr>
      <w:r w:rsidRPr="00BE3EDA">
        <w:rPr>
          <w:sz w:val="22"/>
          <w:szCs w:val="22"/>
          <w:lang w:val="lv-LV"/>
        </w:rPr>
        <w:t xml:space="preserve">“Zinātniskās aparatūras un aprīkojuma iegāde RTU </w:t>
      </w:r>
      <w:proofErr w:type="spellStart"/>
      <w:r w:rsidRPr="00BE3EDA">
        <w:rPr>
          <w:sz w:val="22"/>
          <w:szCs w:val="22"/>
          <w:lang w:val="lv-LV"/>
        </w:rPr>
        <w:t>Mašīnzinību</w:t>
      </w:r>
      <w:proofErr w:type="spellEnd"/>
      <w:r w:rsidRPr="00BE3EDA">
        <w:rPr>
          <w:sz w:val="22"/>
          <w:szCs w:val="22"/>
          <w:lang w:val="lv-LV"/>
        </w:rPr>
        <w:t xml:space="preserve">, transporta un aeronautikas fakultātei: spektrometrs" </w:t>
      </w:r>
    </w:p>
    <w:p w:rsidR="00BE3EDA" w:rsidRPr="00BE3EDA" w:rsidRDefault="00BE3EDA" w:rsidP="00BE3EDA">
      <w:pPr>
        <w:pStyle w:val="Title"/>
        <w:spacing w:before="120"/>
        <w:rPr>
          <w:sz w:val="22"/>
          <w:szCs w:val="22"/>
          <w:lang w:val="lv-LV"/>
        </w:rPr>
      </w:pPr>
    </w:p>
    <w:p w:rsidR="00BE3EDA" w:rsidRPr="00BE3EDA" w:rsidRDefault="00BE3EDA" w:rsidP="00BE3EDA">
      <w:pPr>
        <w:pStyle w:val="Title"/>
        <w:spacing w:before="120"/>
        <w:rPr>
          <w:sz w:val="22"/>
          <w:szCs w:val="22"/>
          <w:lang w:val="lv-LV"/>
        </w:rPr>
      </w:pPr>
      <w:r w:rsidRPr="00BE3EDA">
        <w:rPr>
          <w:sz w:val="22"/>
          <w:szCs w:val="22"/>
          <w:lang w:val="lv-LV"/>
        </w:rPr>
        <w:t>ID: RTU – 2018/99</w:t>
      </w: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1743BB" w:rsidRPr="001743BB" w:rsidRDefault="00FD5552" w:rsidP="001743BB">
      <w:pPr>
        <w:spacing w:before="120"/>
        <w:jc w:val="both"/>
        <w:rPr>
          <w:bCs/>
          <w:sz w:val="22"/>
          <w:szCs w:val="22"/>
          <w:lang w:val="lv-LV"/>
        </w:rPr>
      </w:pPr>
      <w:r>
        <w:rPr>
          <w:sz w:val="22"/>
          <w:szCs w:val="22"/>
          <w:lang w:val="lv-LV" w:eastAsia="lv-LV"/>
        </w:rPr>
        <w:t>201</w:t>
      </w:r>
      <w:r w:rsidR="008B79A5">
        <w:rPr>
          <w:sz w:val="22"/>
          <w:szCs w:val="22"/>
          <w:lang w:val="lv-LV" w:eastAsia="lv-LV"/>
        </w:rPr>
        <w:t>9</w:t>
      </w:r>
      <w:r w:rsidR="001743BB" w:rsidRPr="001743BB">
        <w:rPr>
          <w:sz w:val="22"/>
          <w:szCs w:val="22"/>
          <w:lang w:val="lv-LV" w:eastAsia="lv-LV"/>
        </w:rPr>
        <w:t xml:space="preserve">.gada </w:t>
      </w:r>
      <w:r w:rsidR="00BE3EDA">
        <w:rPr>
          <w:sz w:val="22"/>
          <w:szCs w:val="22"/>
          <w:lang w:val="lv-LV" w:eastAsia="lv-LV"/>
        </w:rPr>
        <w:t>5</w:t>
      </w:r>
      <w:r w:rsidR="00C9727A">
        <w:rPr>
          <w:sz w:val="22"/>
          <w:szCs w:val="22"/>
          <w:lang w:val="lv-LV" w:eastAsia="lv-LV"/>
        </w:rPr>
        <w:t>.</w:t>
      </w:r>
      <w:r w:rsidR="00BE3EDA">
        <w:rPr>
          <w:sz w:val="22"/>
          <w:szCs w:val="22"/>
          <w:lang w:val="lv-LV" w:eastAsia="lv-LV"/>
        </w:rPr>
        <w:t>martā</w:t>
      </w:r>
    </w:p>
    <w:p w:rsidR="001743BB" w:rsidRPr="001743BB" w:rsidRDefault="001743BB" w:rsidP="001743BB">
      <w:pPr>
        <w:pStyle w:val="ListParagraph"/>
        <w:numPr>
          <w:ilvl w:val="0"/>
          <w:numId w:val="2"/>
        </w:numPr>
        <w:spacing w:before="120"/>
        <w:rPr>
          <w:sz w:val="22"/>
          <w:szCs w:val="22"/>
          <w:lang w:val="lv-LV"/>
        </w:rPr>
      </w:pPr>
      <w:r w:rsidRPr="001743BB">
        <w:rPr>
          <w:b/>
          <w:bCs/>
          <w:sz w:val="22"/>
          <w:szCs w:val="22"/>
          <w:lang w:val="lv-LV"/>
        </w:rPr>
        <w:t xml:space="preserve"> Pasūtītājs:     </w:t>
      </w:r>
      <w:r w:rsidRPr="001743BB">
        <w:rPr>
          <w:sz w:val="22"/>
          <w:szCs w:val="22"/>
          <w:lang w:val="lv-LV"/>
        </w:rPr>
        <w:t>Rīgas Tehniskā universitāte (turpmāk - RTU)</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Kaļķu iela 1, Rīga, LV-1658</w:t>
      </w:r>
    </w:p>
    <w:p w:rsidR="001743BB" w:rsidRPr="001743BB" w:rsidRDefault="00C9727A" w:rsidP="001743BB">
      <w:pPr>
        <w:spacing w:before="120"/>
        <w:ind w:left="1224"/>
        <w:contextualSpacing/>
        <w:rPr>
          <w:sz w:val="22"/>
          <w:szCs w:val="22"/>
          <w:lang w:val="lv-LV" w:eastAsia="lv-LV"/>
        </w:rPr>
      </w:pPr>
      <w:r>
        <w:rPr>
          <w:sz w:val="22"/>
          <w:szCs w:val="22"/>
          <w:lang w:val="lv-LV" w:eastAsia="lv-LV"/>
        </w:rPr>
        <w:t xml:space="preserve">Izglītības iestādes </w:t>
      </w:r>
      <w:proofErr w:type="spellStart"/>
      <w:r>
        <w:rPr>
          <w:sz w:val="22"/>
          <w:szCs w:val="22"/>
          <w:lang w:val="lv-LV" w:eastAsia="lv-LV"/>
        </w:rPr>
        <w:t>R</w:t>
      </w:r>
      <w:r w:rsidR="001743BB" w:rsidRPr="001743BB">
        <w:rPr>
          <w:sz w:val="22"/>
          <w:szCs w:val="22"/>
          <w:lang w:val="lv-LV" w:eastAsia="lv-LV"/>
        </w:rPr>
        <w:t>eģ</w:t>
      </w:r>
      <w:proofErr w:type="spellEnd"/>
      <w:r w:rsidR="001743BB" w:rsidRPr="001743BB">
        <w:rPr>
          <w:sz w:val="22"/>
          <w:szCs w:val="22"/>
          <w:lang w:val="lv-LV" w:eastAsia="lv-LV"/>
        </w:rPr>
        <w:t xml:space="preserve">. Nr. </w:t>
      </w:r>
      <w:smartTag w:uri="schemas-tilde-lv/tildestengine" w:element="phone">
        <w:smartTagPr>
          <w:attr w:name="phone_prefix" w:val="334"/>
          <w:attr w:name="phone_number" w:val="1000709"/>
        </w:smartTagPr>
        <w:r w:rsidR="001743BB" w:rsidRPr="001743BB">
          <w:rPr>
            <w:sz w:val="22"/>
            <w:szCs w:val="22"/>
            <w:lang w:val="lv-LV" w:eastAsia="lv-LV"/>
          </w:rPr>
          <w:t>3341000709</w:t>
        </w:r>
      </w:smartTag>
    </w:p>
    <w:p w:rsidR="001743BB" w:rsidRPr="001743BB" w:rsidRDefault="001743BB" w:rsidP="001743BB">
      <w:pPr>
        <w:spacing w:before="120"/>
        <w:ind w:left="122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Konta Nr. LV25TREL9150176044000</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Valsts kase, BIC – TRELLV22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E-pasts: </w:t>
      </w:r>
      <w:hyperlink r:id="rId7" w:history="1">
        <w:r w:rsidRPr="001743BB">
          <w:rPr>
            <w:color w:val="0000FF"/>
            <w:sz w:val="22"/>
            <w:szCs w:val="22"/>
            <w:u w:val="single"/>
            <w:lang w:val="lv-LV" w:eastAsia="lv-LV"/>
          </w:rPr>
          <w:t>rtu@rtu.lv</w:t>
        </w:r>
      </w:hyperlink>
    </w:p>
    <w:p w:rsidR="001743BB" w:rsidRPr="001743BB" w:rsidRDefault="00FD5552" w:rsidP="001743BB">
      <w:pPr>
        <w:spacing w:before="120"/>
        <w:ind w:left="1224"/>
        <w:contextualSpacing/>
        <w:rPr>
          <w:sz w:val="22"/>
          <w:szCs w:val="22"/>
          <w:lang w:val="lv-LV" w:eastAsia="lv-LV"/>
        </w:rPr>
      </w:pPr>
      <w:r>
        <w:rPr>
          <w:sz w:val="22"/>
          <w:szCs w:val="22"/>
          <w:lang w:val="lv-LV" w:eastAsia="lv-LV"/>
        </w:rPr>
        <w:t>Tīmekļa vietne</w:t>
      </w:r>
      <w:r w:rsidR="001743BB" w:rsidRPr="001743BB">
        <w:rPr>
          <w:sz w:val="22"/>
          <w:szCs w:val="22"/>
          <w:lang w:val="lv-LV" w:eastAsia="lv-LV"/>
        </w:rPr>
        <w:t xml:space="preserve">: </w:t>
      </w:r>
      <w:hyperlink r:id="rId8" w:history="1">
        <w:r w:rsidR="001743BB" w:rsidRPr="001743BB">
          <w:rPr>
            <w:color w:val="0000FF"/>
            <w:sz w:val="22"/>
            <w:szCs w:val="22"/>
            <w:u w:val="single"/>
            <w:lang w:val="lv-LV" w:eastAsia="lv-LV"/>
          </w:rPr>
          <w:t>www.rtu.lv</w:t>
        </w:r>
      </w:hyperlink>
    </w:p>
    <w:p w:rsidR="00AD7605" w:rsidRPr="00BE3EDA" w:rsidRDefault="001743BB" w:rsidP="00BE3EDA">
      <w:pPr>
        <w:numPr>
          <w:ilvl w:val="0"/>
          <w:numId w:val="2"/>
        </w:numPr>
        <w:tabs>
          <w:tab w:val="num" w:pos="284"/>
        </w:tabs>
        <w:jc w:val="both"/>
        <w:rPr>
          <w:bCs/>
          <w:sz w:val="22"/>
          <w:szCs w:val="22"/>
          <w:lang w:val="lv-LV"/>
        </w:rPr>
      </w:pPr>
      <w:r w:rsidRPr="00BD7A25">
        <w:rPr>
          <w:b/>
          <w:sz w:val="22"/>
          <w:szCs w:val="22"/>
          <w:lang w:val="lv-LV"/>
        </w:rPr>
        <w:t xml:space="preserve">Iepirkuma priekšmets: </w:t>
      </w:r>
      <w:proofErr w:type="spellStart"/>
      <w:r w:rsidR="00BE3EDA" w:rsidRPr="00BE3EDA">
        <w:rPr>
          <w:bCs/>
          <w:sz w:val="22"/>
          <w:szCs w:val="22"/>
        </w:rPr>
        <w:t>zinātniskās</w:t>
      </w:r>
      <w:proofErr w:type="spellEnd"/>
      <w:r w:rsidR="00BE3EDA" w:rsidRPr="00BE3EDA">
        <w:rPr>
          <w:bCs/>
          <w:sz w:val="22"/>
          <w:szCs w:val="22"/>
        </w:rPr>
        <w:t xml:space="preserve"> </w:t>
      </w:r>
      <w:proofErr w:type="spellStart"/>
      <w:r w:rsidR="00BE3EDA" w:rsidRPr="00BE3EDA">
        <w:rPr>
          <w:bCs/>
          <w:sz w:val="22"/>
          <w:szCs w:val="22"/>
        </w:rPr>
        <w:t>aparatūras</w:t>
      </w:r>
      <w:proofErr w:type="spellEnd"/>
      <w:r w:rsidR="00BE3EDA" w:rsidRPr="00BE3EDA">
        <w:rPr>
          <w:bCs/>
          <w:sz w:val="22"/>
          <w:szCs w:val="22"/>
        </w:rPr>
        <w:t xml:space="preserve"> un </w:t>
      </w:r>
      <w:proofErr w:type="spellStart"/>
      <w:r w:rsidR="00BE3EDA" w:rsidRPr="00BE3EDA">
        <w:rPr>
          <w:bCs/>
          <w:sz w:val="22"/>
          <w:szCs w:val="22"/>
        </w:rPr>
        <w:t>aprīkojuma</w:t>
      </w:r>
      <w:proofErr w:type="spellEnd"/>
      <w:r w:rsidR="00BE3EDA" w:rsidRPr="00BE3EDA">
        <w:rPr>
          <w:bCs/>
          <w:sz w:val="22"/>
          <w:szCs w:val="22"/>
        </w:rPr>
        <w:t xml:space="preserve"> </w:t>
      </w:r>
      <w:proofErr w:type="spellStart"/>
      <w:r w:rsidR="00BE3EDA" w:rsidRPr="00BE3EDA">
        <w:rPr>
          <w:bCs/>
          <w:sz w:val="22"/>
          <w:szCs w:val="22"/>
        </w:rPr>
        <w:t>iegāde</w:t>
      </w:r>
      <w:proofErr w:type="spellEnd"/>
      <w:r w:rsidR="00BE3EDA" w:rsidRPr="00BE3EDA">
        <w:rPr>
          <w:bCs/>
          <w:sz w:val="22"/>
          <w:szCs w:val="22"/>
        </w:rPr>
        <w:t xml:space="preserve"> RTU </w:t>
      </w:r>
      <w:proofErr w:type="spellStart"/>
      <w:r w:rsidR="00BE3EDA" w:rsidRPr="00BE3EDA">
        <w:rPr>
          <w:bCs/>
          <w:sz w:val="22"/>
          <w:szCs w:val="22"/>
        </w:rPr>
        <w:t>Mašīnzinību</w:t>
      </w:r>
      <w:proofErr w:type="spellEnd"/>
      <w:r w:rsidR="00BE3EDA" w:rsidRPr="00BE3EDA">
        <w:rPr>
          <w:bCs/>
          <w:sz w:val="22"/>
          <w:szCs w:val="22"/>
        </w:rPr>
        <w:t xml:space="preserve">, </w:t>
      </w:r>
      <w:proofErr w:type="spellStart"/>
      <w:r w:rsidR="00BE3EDA" w:rsidRPr="00BE3EDA">
        <w:rPr>
          <w:bCs/>
          <w:sz w:val="22"/>
          <w:szCs w:val="22"/>
        </w:rPr>
        <w:t>transporta</w:t>
      </w:r>
      <w:proofErr w:type="spellEnd"/>
      <w:r w:rsidR="00BE3EDA" w:rsidRPr="00BE3EDA">
        <w:rPr>
          <w:bCs/>
          <w:sz w:val="22"/>
          <w:szCs w:val="22"/>
        </w:rPr>
        <w:t xml:space="preserve"> un </w:t>
      </w:r>
      <w:proofErr w:type="spellStart"/>
      <w:r w:rsidR="00BE3EDA" w:rsidRPr="00BE3EDA">
        <w:rPr>
          <w:bCs/>
          <w:sz w:val="22"/>
          <w:szCs w:val="22"/>
        </w:rPr>
        <w:t>aeronautikas</w:t>
      </w:r>
      <w:proofErr w:type="spellEnd"/>
      <w:r w:rsidR="00BE3EDA" w:rsidRPr="00BE3EDA">
        <w:rPr>
          <w:bCs/>
          <w:sz w:val="22"/>
          <w:szCs w:val="22"/>
        </w:rPr>
        <w:t xml:space="preserve"> </w:t>
      </w:r>
      <w:proofErr w:type="spellStart"/>
      <w:r w:rsidR="00BE3EDA" w:rsidRPr="00BE3EDA">
        <w:rPr>
          <w:bCs/>
          <w:sz w:val="22"/>
          <w:szCs w:val="22"/>
        </w:rPr>
        <w:t>fakultātei</w:t>
      </w:r>
      <w:proofErr w:type="spellEnd"/>
      <w:r w:rsidR="00BE3EDA" w:rsidRPr="00BE3EDA">
        <w:rPr>
          <w:bCs/>
          <w:sz w:val="22"/>
          <w:szCs w:val="22"/>
        </w:rPr>
        <w:t xml:space="preserve">: </w:t>
      </w:r>
      <w:proofErr w:type="spellStart"/>
      <w:r w:rsidR="00BE3EDA" w:rsidRPr="00BE3EDA">
        <w:rPr>
          <w:bCs/>
          <w:sz w:val="22"/>
          <w:szCs w:val="22"/>
        </w:rPr>
        <w:t>spektrometrs</w:t>
      </w:r>
      <w:proofErr w:type="spellEnd"/>
      <w:r w:rsidR="00BE3EDA" w:rsidRPr="00BE3EDA">
        <w:rPr>
          <w:bCs/>
          <w:sz w:val="22"/>
          <w:szCs w:val="22"/>
        </w:rPr>
        <w:t xml:space="preserve">. </w:t>
      </w:r>
      <w:proofErr w:type="spellStart"/>
      <w:r w:rsidR="00BE3EDA" w:rsidRPr="00BE3EDA">
        <w:rPr>
          <w:bCs/>
          <w:sz w:val="22"/>
          <w:szCs w:val="22"/>
        </w:rPr>
        <w:t>Konkurss</w:t>
      </w:r>
      <w:proofErr w:type="spellEnd"/>
      <w:r w:rsidR="00BE3EDA" w:rsidRPr="00BE3EDA">
        <w:rPr>
          <w:bCs/>
          <w:sz w:val="22"/>
          <w:szCs w:val="22"/>
        </w:rPr>
        <w:t xml:space="preserve"> </w:t>
      </w:r>
      <w:proofErr w:type="spellStart"/>
      <w:r w:rsidR="00BE3EDA" w:rsidRPr="00BE3EDA">
        <w:rPr>
          <w:bCs/>
          <w:sz w:val="22"/>
          <w:szCs w:val="22"/>
        </w:rPr>
        <w:t>tiek</w:t>
      </w:r>
      <w:proofErr w:type="spellEnd"/>
      <w:r w:rsidR="00BE3EDA" w:rsidRPr="00BE3EDA">
        <w:rPr>
          <w:bCs/>
          <w:sz w:val="22"/>
          <w:szCs w:val="22"/>
        </w:rPr>
        <w:t xml:space="preserve"> </w:t>
      </w:r>
      <w:proofErr w:type="spellStart"/>
      <w:r w:rsidR="00BE3EDA" w:rsidRPr="00BE3EDA">
        <w:rPr>
          <w:bCs/>
          <w:sz w:val="22"/>
          <w:szCs w:val="22"/>
        </w:rPr>
        <w:t>rīkots</w:t>
      </w:r>
      <w:proofErr w:type="spellEnd"/>
      <w:r w:rsidR="00BE3EDA" w:rsidRPr="00BE3EDA">
        <w:rPr>
          <w:bCs/>
          <w:sz w:val="22"/>
          <w:szCs w:val="22"/>
        </w:rPr>
        <w:t xml:space="preserve"> </w:t>
      </w:r>
      <w:proofErr w:type="spellStart"/>
      <w:r w:rsidR="00BE3EDA" w:rsidRPr="00BE3EDA">
        <w:rPr>
          <w:bCs/>
          <w:sz w:val="22"/>
          <w:szCs w:val="22"/>
        </w:rPr>
        <w:t>Eiropas</w:t>
      </w:r>
      <w:proofErr w:type="spellEnd"/>
      <w:r w:rsidR="00BE3EDA" w:rsidRPr="00BE3EDA">
        <w:rPr>
          <w:bCs/>
          <w:sz w:val="22"/>
          <w:szCs w:val="22"/>
        </w:rPr>
        <w:t xml:space="preserve"> </w:t>
      </w:r>
      <w:proofErr w:type="spellStart"/>
      <w:r w:rsidR="00BE3EDA" w:rsidRPr="00BE3EDA">
        <w:rPr>
          <w:bCs/>
          <w:sz w:val="22"/>
          <w:szCs w:val="22"/>
        </w:rPr>
        <w:t>Savienības</w:t>
      </w:r>
      <w:proofErr w:type="spellEnd"/>
      <w:r w:rsidR="00BE3EDA" w:rsidRPr="00BE3EDA">
        <w:rPr>
          <w:bCs/>
          <w:sz w:val="22"/>
          <w:szCs w:val="22"/>
        </w:rPr>
        <w:t xml:space="preserve"> </w:t>
      </w:r>
      <w:proofErr w:type="spellStart"/>
      <w:r w:rsidR="00BE3EDA" w:rsidRPr="00BE3EDA">
        <w:rPr>
          <w:bCs/>
          <w:sz w:val="22"/>
          <w:szCs w:val="22"/>
        </w:rPr>
        <w:t>fonda</w:t>
      </w:r>
      <w:proofErr w:type="spellEnd"/>
      <w:r w:rsidR="00BE3EDA" w:rsidRPr="00BE3EDA">
        <w:rPr>
          <w:bCs/>
          <w:sz w:val="22"/>
          <w:szCs w:val="22"/>
        </w:rPr>
        <w:t xml:space="preserve"> </w:t>
      </w:r>
      <w:proofErr w:type="spellStart"/>
      <w:r w:rsidR="00BE3EDA" w:rsidRPr="00BE3EDA">
        <w:rPr>
          <w:bCs/>
          <w:sz w:val="22"/>
          <w:szCs w:val="22"/>
        </w:rPr>
        <w:t>projekta</w:t>
      </w:r>
      <w:proofErr w:type="spellEnd"/>
      <w:r w:rsidR="00BE3EDA" w:rsidRPr="00BE3EDA">
        <w:rPr>
          <w:bCs/>
          <w:sz w:val="22"/>
          <w:szCs w:val="22"/>
        </w:rPr>
        <w:t xml:space="preserve"> “</w:t>
      </w:r>
      <w:proofErr w:type="spellStart"/>
      <w:r w:rsidR="00BE3EDA" w:rsidRPr="00BE3EDA">
        <w:rPr>
          <w:bCs/>
          <w:sz w:val="22"/>
          <w:szCs w:val="22"/>
        </w:rPr>
        <w:t>Rīgas</w:t>
      </w:r>
      <w:proofErr w:type="spellEnd"/>
      <w:r w:rsidR="00BE3EDA" w:rsidRPr="00BE3EDA">
        <w:rPr>
          <w:bCs/>
          <w:sz w:val="22"/>
          <w:szCs w:val="22"/>
        </w:rPr>
        <w:t xml:space="preserve"> </w:t>
      </w:r>
      <w:proofErr w:type="spellStart"/>
      <w:r w:rsidR="00BE3EDA" w:rsidRPr="00BE3EDA">
        <w:rPr>
          <w:bCs/>
          <w:sz w:val="22"/>
          <w:szCs w:val="22"/>
        </w:rPr>
        <w:t>Tehniskās</w:t>
      </w:r>
      <w:proofErr w:type="spellEnd"/>
      <w:r w:rsidR="00BE3EDA" w:rsidRPr="00BE3EDA">
        <w:rPr>
          <w:bCs/>
          <w:sz w:val="22"/>
          <w:szCs w:val="22"/>
        </w:rPr>
        <w:t xml:space="preserve"> </w:t>
      </w:r>
      <w:proofErr w:type="spellStart"/>
      <w:r w:rsidR="00BE3EDA" w:rsidRPr="00BE3EDA">
        <w:rPr>
          <w:bCs/>
          <w:sz w:val="22"/>
          <w:szCs w:val="22"/>
        </w:rPr>
        <w:t>universitātes</w:t>
      </w:r>
      <w:proofErr w:type="spellEnd"/>
      <w:r w:rsidR="00BE3EDA" w:rsidRPr="00BE3EDA">
        <w:rPr>
          <w:bCs/>
          <w:sz w:val="22"/>
          <w:szCs w:val="22"/>
        </w:rPr>
        <w:t xml:space="preserve"> </w:t>
      </w:r>
      <w:proofErr w:type="spellStart"/>
      <w:r w:rsidR="00BE3EDA" w:rsidRPr="00BE3EDA">
        <w:rPr>
          <w:bCs/>
          <w:sz w:val="22"/>
          <w:szCs w:val="22"/>
        </w:rPr>
        <w:t>Inženierzinātņu</w:t>
      </w:r>
      <w:proofErr w:type="spellEnd"/>
      <w:r w:rsidR="00BE3EDA" w:rsidRPr="00BE3EDA">
        <w:rPr>
          <w:bCs/>
          <w:sz w:val="22"/>
          <w:szCs w:val="22"/>
        </w:rPr>
        <w:t xml:space="preserve"> un </w:t>
      </w:r>
      <w:proofErr w:type="spellStart"/>
      <w:r w:rsidR="00BE3EDA" w:rsidRPr="00BE3EDA">
        <w:rPr>
          <w:bCs/>
          <w:sz w:val="22"/>
          <w:szCs w:val="22"/>
        </w:rPr>
        <w:t>viedo</w:t>
      </w:r>
      <w:proofErr w:type="spellEnd"/>
      <w:r w:rsidR="00BE3EDA" w:rsidRPr="00BE3EDA">
        <w:rPr>
          <w:bCs/>
          <w:sz w:val="22"/>
          <w:szCs w:val="22"/>
        </w:rPr>
        <w:t xml:space="preserve"> </w:t>
      </w:r>
      <w:proofErr w:type="spellStart"/>
      <w:r w:rsidR="00BE3EDA" w:rsidRPr="00BE3EDA">
        <w:rPr>
          <w:bCs/>
          <w:sz w:val="22"/>
          <w:szCs w:val="22"/>
        </w:rPr>
        <w:t>tehnoloģiju</w:t>
      </w:r>
      <w:proofErr w:type="spellEnd"/>
      <w:r w:rsidR="00BE3EDA" w:rsidRPr="00BE3EDA">
        <w:rPr>
          <w:bCs/>
          <w:sz w:val="22"/>
          <w:szCs w:val="22"/>
        </w:rPr>
        <w:t xml:space="preserve"> </w:t>
      </w:r>
      <w:proofErr w:type="spellStart"/>
      <w:r w:rsidR="00BE3EDA" w:rsidRPr="00BE3EDA">
        <w:rPr>
          <w:bCs/>
          <w:sz w:val="22"/>
          <w:szCs w:val="22"/>
        </w:rPr>
        <w:t>centra</w:t>
      </w:r>
      <w:proofErr w:type="spellEnd"/>
      <w:r w:rsidR="00BE3EDA" w:rsidRPr="00BE3EDA">
        <w:rPr>
          <w:bCs/>
          <w:sz w:val="22"/>
          <w:szCs w:val="22"/>
        </w:rPr>
        <w:t xml:space="preserve"> </w:t>
      </w:r>
      <w:proofErr w:type="spellStart"/>
      <w:r w:rsidR="00BE3EDA" w:rsidRPr="00BE3EDA">
        <w:rPr>
          <w:bCs/>
          <w:sz w:val="22"/>
          <w:szCs w:val="22"/>
        </w:rPr>
        <w:t>infrastruktūras</w:t>
      </w:r>
      <w:proofErr w:type="spellEnd"/>
      <w:r w:rsidR="00BE3EDA" w:rsidRPr="00BE3EDA">
        <w:rPr>
          <w:bCs/>
          <w:sz w:val="22"/>
          <w:szCs w:val="22"/>
        </w:rPr>
        <w:t xml:space="preserve"> </w:t>
      </w:r>
      <w:proofErr w:type="spellStart"/>
      <w:r w:rsidR="00BE3EDA" w:rsidRPr="00BE3EDA">
        <w:rPr>
          <w:bCs/>
          <w:sz w:val="22"/>
          <w:szCs w:val="22"/>
        </w:rPr>
        <w:t>attīstība</w:t>
      </w:r>
      <w:proofErr w:type="spellEnd"/>
      <w:r w:rsidR="00BE3EDA" w:rsidRPr="00BE3EDA">
        <w:rPr>
          <w:bCs/>
          <w:sz w:val="22"/>
          <w:szCs w:val="22"/>
        </w:rPr>
        <w:t xml:space="preserve"> </w:t>
      </w:r>
      <w:proofErr w:type="spellStart"/>
      <w:r w:rsidR="00BE3EDA" w:rsidRPr="00BE3EDA">
        <w:rPr>
          <w:bCs/>
          <w:sz w:val="22"/>
          <w:szCs w:val="22"/>
        </w:rPr>
        <w:t>Viedās</w:t>
      </w:r>
      <w:proofErr w:type="spellEnd"/>
      <w:r w:rsidR="00BE3EDA" w:rsidRPr="00BE3EDA">
        <w:rPr>
          <w:bCs/>
          <w:sz w:val="22"/>
          <w:szCs w:val="22"/>
        </w:rPr>
        <w:t xml:space="preserve"> </w:t>
      </w:r>
      <w:proofErr w:type="spellStart"/>
      <w:r w:rsidR="00BE3EDA" w:rsidRPr="00BE3EDA">
        <w:rPr>
          <w:bCs/>
          <w:sz w:val="22"/>
          <w:szCs w:val="22"/>
        </w:rPr>
        <w:t>specializācijas</w:t>
      </w:r>
      <w:proofErr w:type="spellEnd"/>
      <w:r w:rsidR="00BE3EDA" w:rsidRPr="00BE3EDA">
        <w:rPr>
          <w:bCs/>
          <w:sz w:val="22"/>
          <w:szCs w:val="22"/>
        </w:rPr>
        <w:t xml:space="preserve"> </w:t>
      </w:r>
      <w:proofErr w:type="spellStart"/>
      <w:r w:rsidR="00BE3EDA" w:rsidRPr="00BE3EDA">
        <w:rPr>
          <w:bCs/>
          <w:sz w:val="22"/>
          <w:szCs w:val="22"/>
        </w:rPr>
        <w:t>jomās</w:t>
      </w:r>
      <w:proofErr w:type="spellEnd"/>
      <w:r w:rsidR="00BE3EDA" w:rsidRPr="00BE3EDA">
        <w:rPr>
          <w:bCs/>
          <w:sz w:val="22"/>
          <w:szCs w:val="22"/>
        </w:rPr>
        <w:t xml:space="preserve">”, </w:t>
      </w:r>
      <w:proofErr w:type="spellStart"/>
      <w:r w:rsidR="00BE3EDA" w:rsidRPr="00BE3EDA">
        <w:rPr>
          <w:bCs/>
          <w:sz w:val="22"/>
          <w:szCs w:val="22"/>
        </w:rPr>
        <w:t>vienošanās</w:t>
      </w:r>
      <w:proofErr w:type="spellEnd"/>
      <w:r w:rsidR="00BE3EDA" w:rsidRPr="00BE3EDA">
        <w:rPr>
          <w:bCs/>
          <w:sz w:val="22"/>
          <w:szCs w:val="22"/>
        </w:rPr>
        <w:t xml:space="preserve"> Nr.1.1.1.4/17/I/004, </w:t>
      </w:r>
      <w:proofErr w:type="spellStart"/>
      <w:r w:rsidR="00BE3EDA" w:rsidRPr="00BE3EDA">
        <w:rPr>
          <w:bCs/>
          <w:sz w:val="22"/>
          <w:szCs w:val="22"/>
        </w:rPr>
        <w:t>īstenošanas</w:t>
      </w:r>
      <w:proofErr w:type="spellEnd"/>
      <w:r w:rsidR="00BE3EDA" w:rsidRPr="00BE3EDA">
        <w:rPr>
          <w:bCs/>
          <w:sz w:val="22"/>
          <w:szCs w:val="22"/>
        </w:rPr>
        <w:t xml:space="preserve"> </w:t>
      </w:r>
      <w:proofErr w:type="spellStart"/>
      <w:r w:rsidR="00BE3EDA" w:rsidRPr="00BE3EDA">
        <w:rPr>
          <w:bCs/>
          <w:sz w:val="22"/>
          <w:szCs w:val="22"/>
        </w:rPr>
        <w:t>ietvaros</w:t>
      </w:r>
      <w:proofErr w:type="spellEnd"/>
      <w:r w:rsidR="00BE3EDA" w:rsidRPr="00BE3EDA">
        <w:rPr>
          <w:bCs/>
          <w:sz w:val="22"/>
          <w:szCs w:val="22"/>
        </w:rPr>
        <w:t xml:space="preserve"> (PVS ID 3170). </w:t>
      </w:r>
      <w:proofErr w:type="spellStart"/>
      <w:r w:rsidR="00BE3EDA" w:rsidRPr="00BE3EDA">
        <w:rPr>
          <w:bCs/>
          <w:sz w:val="22"/>
          <w:szCs w:val="22"/>
        </w:rPr>
        <w:t>Iepirkuma</w:t>
      </w:r>
      <w:proofErr w:type="spellEnd"/>
      <w:r w:rsidR="00BE3EDA" w:rsidRPr="00BE3EDA">
        <w:rPr>
          <w:bCs/>
          <w:sz w:val="22"/>
          <w:szCs w:val="22"/>
        </w:rPr>
        <w:t xml:space="preserve"> </w:t>
      </w:r>
      <w:proofErr w:type="spellStart"/>
      <w:r w:rsidR="00BE3EDA" w:rsidRPr="00BE3EDA">
        <w:rPr>
          <w:bCs/>
          <w:sz w:val="22"/>
          <w:szCs w:val="22"/>
        </w:rPr>
        <w:t>priekšmets</w:t>
      </w:r>
      <w:proofErr w:type="spellEnd"/>
      <w:r w:rsidR="00BE3EDA" w:rsidRPr="00BE3EDA">
        <w:rPr>
          <w:bCs/>
          <w:sz w:val="22"/>
          <w:szCs w:val="22"/>
        </w:rPr>
        <w:t xml:space="preserve"> </w:t>
      </w:r>
      <w:proofErr w:type="spellStart"/>
      <w:r w:rsidR="00BE3EDA" w:rsidRPr="00BE3EDA">
        <w:rPr>
          <w:bCs/>
          <w:sz w:val="22"/>
          <w:szCs w:val="22"/>
        </w:rPr>
        <w:t>nav</w:t>
      </w:r>
      <w:proofErr w:type="spellEnd"/>
      <w:r w:rsidR="00BE3EDA" w:rsidRPr="00BE3EDA">
        <w:rPr>
          <w:bCs/>
          <w:sz w:val="22"/>
          <w:szCs w:val="22"/>
        </w:rPr>
        <w:t xml:space="preserve"> </w:t>
      </w:r>
      <w:proofErr w:type="spellStart"/>
      <w:r w:rsidR="00BE3EDA" w:rsidRPr="00BE3EDA">
        <w:rPr>
          <w:bCs/>
          <w:sz w:val="22"/>
          <w:szCs w:val="22"/>
        </w:rPr>
        <w:t>sadalīts</w:t>
      </w:r>
      <w:proofErr w:type="spellEnd"/>
      <w:r w:rsidR="00BE3EDA" w:rsidRPr="00BE3EDA">
        <w:rPr>
          <w:bCs/>
          <w:sz w:val="22"/>
          <w:szCs w:val="22"/>
        </w:rPr>
        <w:t xml:space="preserve"> </w:t>
      </w:r>
      <w:proofErr w:type="spellStart"/>
      <w:r w:rsidR="00BE3EDA" w:rsidRPr="00BE3EDA">
        <w:rPr>
          <w:bCs/>
          <w:sz w:val="22"/>
          <w:szCs w:val="22"/>
        </w:rPr>
        <w:t>šādās</w:t>
      </w:r>
      <w:proofErr w:type="spellEnd"/>
      <w:r w:rsidR="00BE3EDA" w:rsidRPr="00BE3EDA">
        <w:rPr>
          <w:bCs/>
          <w:sz w:val="22"/>
          <w:szCs w:val="22"/>
        </w:rPr>
        <w:t xml:space="preserve"> </w:t>
      </w:r>
      <w:proofErr w:type="spellStart"/>
      <w:r w:rsidR="00BE3EDA" w:rsidRPr="00BE3EDA">
        <w:rPr>
          <w:bCs/>
          <w:sz w:val="22"/>
          <w:szCs w:val="22"/>
        </w:rPr>
        <w:t>daļās</w:t>
      </w:r>
      <w:proofErr w:type="spellEnd"/>
      <w:r w:rsidR="00BE3EDA" w:rsidRPr="00BE3EDA">
        <w:rPr>
          <w:bCs/>
          <w:sz w:val="22"/>
          <w:szCs w:val="22"/>
        </w:rPr>
        <w:t>.</w:t>
      </w:r>
    </w:p>
    <w:p w:rsidR="00BE3EDA" w:rsidRPr="00BE3EDA" w:rsidRDefault="001743BB" w:rsidP="00442C05">
      <w:pPr>
        <w:numPr>
          <w:ilvl w:val="0"/>
          <w:numId w:val="2"/>
        </w:numPr>
        <w:spacing w:before="120"/>
        <w:jc w:val="both"/>
        <w:rPr>
          <w:rFonts w:eastAsia="Cambria"/>
          <w:b/>
          <w:bCs/>
          <w:kern w:val="56"/>
          <w:sz w:val="22"/>
          <w:szCs w:val="22"/>
          <w:lang w:val="lv-LV"/>
        </w:rPr>
      </w:pPr>
      <w:r w:rsidRPr="00BE3EDA">
        <w:rPr>
          <w:b/>
          <w:bCs/>
          <w:sz w:val="22"/>
          <w:szCs w:val="22"/>
          <w:lang w:val="lv-LV"/>
        </w:rPr>
        <w:t xml:space="preserve">Galvenais CPV nomenklatūras kods: </w:t>
      </w:r>
      <w:r w:rsidR="00BE3EDA" w:rsidRPr="00BE3EDA">
        <w:rPr>
          <w:bCs/>
          <w:sz w:val="22"/>
          <w:szCs w:val="22"/>
          <w:lang w:val="lv-LV"/>
        </w:rPr>
        <w:t>33114000-2 (</w:t>
      </w:r>
      <w:proofErr w:type="spellStart"/>
      <w:r w:rsidR="00BE3EDA" w:rsidRPr="00BE3EDA">
        <w:rPr>
          <w:bCs/>
          <w:sz w:val="22"/>
          <w:szCs w:val="22"/>
          <w:lang w:val="lv-LV"/>
        </w:rPr>
        <w:t>Spektroskopijas</w:t>
      </w:r>
      <w:proofErr w:type="spellEnd"/>
      <w:r w:rsidR="00BE3EDA" w:rsidRPr="00BE3EDA">
        <w:rPr>
          <w:bCs/>
          <w:sz w:val="22"/>
          <w:szCs w:val="22"/>
          <w:lang w:val="lv-LV"/>
        </w:rPr>
        <w:t xml:space="preserve"> ierīces), papildus kodi: 38433210-4 (Emisijas spektrometrs), 38433000-9 (Masas spektrometri)</w:t>
      </w:r>
      <w:r w:rsidR="00BE3EDA">
        <w:rPr>
          <w:bCs/>
          <w:sz w:val="22"/>
          <w:szCs w:val="22"/>
          <w:lang w:val="lv-LV"/>
        </w:rPr>
        <w:t>.</w:t>
      </w:r>
    </w:p>
    <w:p w:rsidR="00FD5552" w:rsidRPr="00BE3EDA" w:rsidRDefault="00FD5552" w:rsidP="00442C05">
      <w:pPr>
        <w:numPr>
          <w:ilvl w:val="0"/>
          <w:numId w:val="2"/>
        </w:numPr>
        <w:spacing w:before="120"/>
        <w:jc w:val="both"/>
        <w:rPr>
          <w:rFonts w:eastAsia="Cambria"/>
          <w:b/>
          <w:bCs/>
          <w:kern w:val="56"/>
          <w:sz w:val="22"/>
          <w:szCs w:val="22"/>
          <w:lang w:val="lv-LV"/>
        </w:rPr>
      </w:pPr>
      <w:r w:rsidRPr="00BE3EDA">
        <w:rPr>
          <w:rFonts w:eastAsia="Cambria"/>
          <w:b/>
          <w:bCs/>
          <w:kern w:val="56"/>
          <w:sz w:val="22"/>
          <w:szCs w:val="22"/>
          <w:lang w:val="lv-LV"/>
        </w:rPr>
        <w:t xml:space="preserve">Plānotais iepirkuma līguma termiņš – </w:t>
      </w:r>
      <w:r w:rsidR="00BE3EDA" w:rsidRPr="00BE3EDA">
        <w:rPr>
          <w:rFonts w:eastAsia="Cambria"/>
          <w:bCs/>
          <w:kern w:val="56"/>
          <w:sz w:val="22"/>
          <w:szCs w:val="22"/>
          <w:lang w:val="lv-LV"/>
        </w:rPr>
        <w:t>ne vēlāk kā 9 (deviņu) mēnešu laikā no iepirkuma līguma noslēgšanas dienas</w:t>
      </w:r>
      <w:r w:rsidRPr="00BE3EDA">
        <w:rPr>
          <w:rFonts w:eastAsia="Cambria"/>
          <w:bCs/>
          <w:kern w:val="56"/>
          <w:sz w:val="22"/>
          <w:szCs w:val="22"/>
          <w:lang w:val="lv-LV"/>
        </w:rPr>
        <w:t>.</w:t>
      </w:r>
      <w:r w:rsidRPr="00BE3EDA">
        <w:rPr>
          <w:rFonts w:eastAsia="Cambria"/>
          <w:b/>
          <w:bCs/>
          <w:kern w:val="56"/>
          <w:sz w:val="22"/>
          <w:szCs w:val="22"/>
          <w:lang w:val="lv-LV"/>
        </w:rPr>
        <w:t xml:space="preserve"> </w:t>
      </w:r>
    </w:p>
    <w:p w:rsidR="001743BB" w:rsidRPr="001743BB" w:rsidRDefault="001743BB" w:rsidP="001743BB">
      <w:pPr>
        <w:numPr>
          <w:ilvl w:val="0"/>
          <w:numId w:val="2"/>
        </w:numPr>
        <w:spacing w:before="120"/>
        <w:jc w:val="both"/>
        <w:rPr>
          <w:sz w:val="22"/>
          <w:szCs w:val="22"/>
          <w:lang w:val="lv-LV"/>
        </w:rPr>
      </w:pPr>
      <w:r w:rsidRPr="001743BB">
        <w:rPr>
          <w:b/>
          <w:sz w:val="22"/>
          <w:szCs w:val="22"/>
          <w:lang w:val="lv-LV"/>
        </w:rPr>
        <w:t xml:space="preserve">Paziņojums par iepirkuma procedūru publicēts: </w:t>
      </w:r>
      <w:r w:rsidR="00BE3EDA">
        <w:rPr>
          <w:bCs/>
          <w:sz w:val="22"/>
          <w:szCs w:val="22"/>
          <w:lang w:val="lv-LV"/>
        </w:rPr>
        <w:t>30.09</w:t>
      </w:r>
      <w:r w:rsidR="00AD7605" w:rsidRPr="00AD7605">
        <w:rPr>
          <w:bCs/>
          <w:sz w:val="22"/>
          <w:szCs w:val="22"/>
          <w:lang w:val="lv-LV"/>
        </w:rPr>
        <w:t>.2018.</w:t>
      </w:r>
    </w:p>
    <w:p w:rsidR="001743BB" w:rsidRPr="00E13A2B" w:rsidRDefault="001743BB" w:rsidP="00E13A2B">
      <w:pPr>
        <w:numPr>
          <w:ilvl w:val="0"/>
          <w:numId w:val="2"/>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r w:rsidRPr="00E13A2B">
        <w:rPr>
          <w:sz w:val="22"/>
          <w:szCs w:val="22"/>
          <w:lang w:val="lv-LV"/>
        </w:rPr>
        <w:t>Komisija izveidota</w:t>
      </w:r>
      <w:r w:rsidR="00BE3EDA" w:rsidRPr="00BE3EDA">
        <w:rPr>
          <w:rFonts w:ascii="Arial" w:hAnsi="Arial" w:cs="Arial"/>
          <w:bCs/>
          <w:lang w:val="lv-LV" w:eastAsia="lv-LV"/>
        </w:rPr>
        <w:t xml:space="preserve"> </w:t>
      </w:r>
      <w:r w:rsidR="00BE3EDA" w:rsidRPr="00BE3EDA">
        <w:rPr>
          <w:bCs/>
          <w:sz w:val="22"/>
          <w:szCs w:val="22"/>
          <w:lang w:val="lv-LV"/>
        </w:rPr>
        <w:t xml:space="preserve">ar Rīgas Tehniskās universitātes studiju prorektora </w:t>
      </w:r>
      <w:r w:rsidR="00BE3EDA" w:rsidRPr="00BE3EDA">
        <w:rPr>
          <w:bCs/>
          <w:sz w:val="22"/>
          <w:szCs w:val="22"/>
          <w:lang w:val="en-US"/>
        </w:rPr>
        <w:t xml:space="preserve">27.09.2018. </w:t>
      </w:r>
      <w:proofErr w:type="spellStart"/>
      <w:r w:rsidR="00BE3EDA" w:rsidRPr="00BE3EDA">
        <w:rPr>
          <w:bCs/>
          <w:sz w:val="22"/>
          <w:szCs w:val="22"/>
          <w:lang w:val="en-US"/>
        </w:rPr>
        <w:t>rīkojumu</w:t>
      </w:r>
      <w:proofErr w:type="spellEnd"/>
      <w:r w:rsidR="00BE3EDA" w:rsidRPr="00BE3EDA">
        <w:rPr>
          <w:bCs/>
          <w:sz w:val="22"/>
          <w:szCs w:val="22"/>
          <w:lang w:val="en-US"/>
        </w:rPr>
        <w:t xml:space="preserve"> </w:t>
      </w:r>
      <w:proofErr w:type="spellStart"/>
      <w:r w:rsidR="00BE3EDA" w:rsidRPr="00BE3EDA">
        <w:rPr>
          <w:bCs/>
          <w:sz w:val="22"/>
          <w:szCs w:val="22"/>
          <w:lang w:val="en-US"/>
        </w:rPr>
        <w:t>Nr</w:t>
      </w:r>
      <w:proofErr w:type="spellEnd"/>
      <w:r w:rsidR="00BE3EDA" w:rsidRPr="00BE3EDA">
        <w:rPr>
          <w:bCs/>
          <w:sz w:val="22"/>
          <w:szCs w:val="22"/>
          <w:lang w:val="en-US"/>
        </w:rPr>
        <w:t>. 03000-1.2-e/46</w:t>
      </w:r>
      <w:r w:rsidRPr="00E13A2B">
        <w:rPr>
          <w:sz w:val="22"/>
          <w:szCs w:val="22"/>
          <w:lang w:val="lv-LV"/>
        </w:rPr>
        <w:t xml:space="preserve"> šādā sastāvā:</w:t>
      </w:r>
    </w:p>
    <w:tbl>
      <w:tblPr>
        <w:tblW w:w="9497" w:type="dxa"/>
        <w:tblInd w:w="709" w:type="dxa"/>
        <w:tblLayout w:type="fixed"/>
        <w:tblLook w:val="04A0" w:firstRow="1" w:lastRow="0" w:firstColumn="1" w:lastColumn="0" w:noHBand="0" w:noVBand="1"/>
      </w:tblPr>
      <w:tblGrid>
        <w:gridCol w:w="2835"/>
        <w:gridCol w:w="3827"/>
        <w:gridCol w:w="2835"/>
      </w:tblGrid>
      <w:tr w:rsidR="001743BB" w:rsidRPr="001743BB" w:rsidTr="00BE3EDA">
        <w:tc>
          <w:tcPr>
            <w:tcW w:w="2835" w:type="dxa"/>
          </w:tcPr>
          <w:p w:rsidR="001743BB" w:rsidRPr="00E61641" w:rsidRDefault="00BD7A25" w:rsidP="00360743">
            <w:pPr>
              <w:tabs>
                <w:tab w:val="left" w:pos="9575"/>
              </w:tabs>
              <w:spacing w:before="120"/>
              <w:jc w:val="both"/>
              <w:rPr>
                <w:b/>
                <w:sz w:val="22"/>
                <w:szCs w:val="22"/>
                <w:lang w:val="lv-LV"/>
              </w:rPr>
            </w:pPr>
            <w:r w:rsidRPr="00E61641">
              <w:rPr>
                <w:b/>
                <w:sz w:val="22"/>
                <w:szCs w:val="22"/>
                <w:lang w:val="lv-LV"/>
              </w:rPr>
              <w:t>Komisijas priekšsēdētājs:</w:t>
            </w:r>
          </w:p>
        </w:tc>
        <w:tc>
          <w:tcPr>
            <w:tcW w:w="6662" w:type="dxa"/>
            <w:gridSpan w:val="2"/>
          </w:tcPr>
          <w:p w:rsidR="001743BB" w:rsidRPr="00E61641" w:rsidRDefault="001743BB" w:rsidP="00360743">
            <w:pPr>
              <w:tabs>
                <w:tab w:val="left" w:pos="397"/>
                <w:tab w:val="left" w:pos="9000"/>
                <w:tab w:val="left" w:pos="9575"/>
              </w:tabs>
              <w:spacing w:before="120"/>
              <w:jc w:val="both"/>
              <w:rPr>
                <w:b/>
                <w:sz w:val="22"/>
                <w:szCs w:val="22"/>
                <w:lang w:val="lv-LV"/>
              </w:rPr>
            </w:pPr>
          </w:p>
        </w:tc>
      </w:tr>
      <w:tr w:rsidR="00BD7A25" w:rsidRPr="001743BB" w:rsidTr="00BE3EDA">
        <w:trPr>
          <w:trHeight w:val="334"/>
        </w:trPr>
        <w:tc>
          <w:tcPr>
            <w:tcW w:w="2835" w:type="dxa"/>
          </w:tcPr>
          <w:p w:rsidR="00BD7A25" w:rsidRPr="00BE3EDA" w:rsidRDefault="00BD7A25" w:rsidP="00BD7A25">
            <w:pPr>
              <w:spacing w:after="120"/>
              <w:jc w:val="both"/>
              <w:rPr>
                <w:b/>
                <w:sz w:val="22"/>
                <w:szCs w:val="22"/>
              </w:rPr>
            </w:pPr>
            <w:r w:rsidRPr="00BE3EDA">
              <w:rPr>
                <w:sz w:val="22"/>
                <w:szCs w:val="22"/>
              </w:rPr>
              <w:t>Jevgēnijs Gramsts</w:t>
            </w:r>
          </w:p>
        </w:tc>
        <w:tc>
          <w:tcPr>
            <w:tcW w:w="6662" w:type="dxa"/>
            <w:gridSpan w:val="2"/>
          </w:tcPr>
          <w:p w:rsidR="00BD7A25" w:rsidRPr="00BE3EDA" w:rsidRDefault="00BD7A25" w:rsidP="00BD7A25">
            <w:pPr>
              <w:spacing w:after="120"/>
              <w:jc w:val="both"/>
              <w:rPr>
                <w:b/>
                <w:sz w:val="22"/>
                <w:szCs w:val="22"/>
              </w:rPr>
            </w:pPr>
            <w:proofErr w:type="spellStart"/>
            <w:r w:rsidRPr="00BE3EDA">
              <w:rPr>
                <w:sz w:val="22"/>
                <w:szCs w:val="22"/>
              </w:rPr>
              <w:t>Iepirkumu</w:t>
            </w:r>
            <w:proofErr w:type="spellEnd"/>
            <w:r w:rsidRPr="00BE3EDA">
              <w:rPr>
                <w:sz w:val="22"/>
                <w:szCs w:val="22"/>
              </w:rPr>
              <w:t xml:space="preserve"> </w:t>
            </w:r>
            <w:proofErr w:type="spellStart"/>
            <w:r w:rsidRPr="00BE3EDA">
              <w:rPr>
                <w:sz w:val="22"/>
                <w:szCs w:val="22"/>
              </w:rPr>
              <w:t>nodaļas</w:t>
            </w:r>
            <w:proofErr w:type="spellEnd"/>
            <w:r w:rsidRPr="00BE3EDA">
              <w:rPr>
                <w:sz w:val="22"/>
                <w:szCs w:val="22"/>
              </w:rPr>
              <w:t xml:space="preserve"> </w:t>
            </w:r>
            <w:proofErr w:type="spellStart"/>
            <w:r w:rsidRPr="00BE3EDA">
              <w:rPr>
                <w:sz w:val="22"/>
                <w:szCs w:val="22"/>
              </w:rPr>
              <w:t>vecākais</w:t>
            </w:r>
            <w:proofErr w:type="spellEnd"/>
            <w:r w:rsidRPr="00BE3EDA">
              <w:rPr>
                <w:sz w:val="22"/>
                <w:szCs w:val="22"/>
              </w:rPr>
              <w:t xml:space="preserve"> </w:t>
            </w:r>
            <w:proofErr w:type="spellStart"/>
            <w:r w:rsidRPr="00BE3EDA">
              <w:rPr>
                <w:sz w:val="22"/>
                <w:szCs w:val="22"/>
              </w:rPr>
              <w:t>iepirkumu</w:t>
            </w:r>
            <w:proofErr w:type="spellEnd"/>
            <w:r w:rsidRPr="00BE3EDA">
              <w:rPr>
                <w:sz w:val="22"/>
                <w:szCs w:val="22"/>
              </w:rPr>
              <w:t xml:space="preserve"> </w:t>
            </w:r>
            <w:proofErr w:type="spellStart"/>
            <w:r w:rsidRPr="00BE3EDA">
              <w:rPr>
                <w:sz w:val="22"/>
                <w:szCs w:val="22"/>
              </w:rPr>
              <w:t>speciālists</w:t>
            </w:r>
            <w:proofErr w:type="spellEnd"/>
          </w:p>
        </w:tc>
      </w:tr>
      <w:tr w:rsidR="00BD7A25" w:rsidRPr="001743BB" w:rsidTr="00BE3EDA">
        <w:trPr>
          <w:trHeight w:val="334"/>
        </w:trPr>
        <w:tc>
          <w:tcPr>
            <w:tcW w:w="2835" w:type="dxa"/>
          </w:tcPr>
          <w:p w:rsidR="00BD7A25" w:rsidRPr="00BE3EDA" w:rsidRDefault="00BD7A25" w:rsidP="00BD7A25">
            <w:pPr>
              <w:spacing w:after="120"/>
              <w:jc w:val="both"/>
              <w:rPr>
                <w:b/>
                <w:sz w:val="22"/>
                <w:szCs w:val="22"/>
              </w:rPr>
            </w:pPr>
            <w:proofErr w:type="spellStart"/>
            <w:r w:rsidRPr="00BE3EDA">
              <w:rPr>
                <w:b/>
                <w:sz w:val="22"/>
                <w:szCs w:val="22"/>
              </w:rPr>
              <w:t>Komisijas</w:t>
            </w:r>
            <w:proofErr w:type="spellEnd"/>
            <w:r w:rsidRPr="00BE3EDA">
              <w:rPr>
                <w:b/>
                <w:sz w:val="22"/>
                <w:szCs w:val="22"/>
              </w:rPr>
              <w:t xml:space="preserve"> </w:t>
            </w:r>
            <w:proofErr w:type="spellStart"/>
            <w:r w:rsidRPr="00BE3EDA">
              <w:rPr>
                <w:b/>
                <w:sz w:val="22"/>
                <w:szCs w:val="22"/>
              </w:rPr>
              <w:t>locekļi</w:t>
            </w:r>
            <w:proofErr w:type="spellEnd"/>
            <w:r w:rsidRPr="00BE3EDA">
              <w:rPr>
                <w:b/>
                <w:sz w:val="22"/>
                <w:szCs w:val="22"/>
              </w:rPr>
              <w:t>:</w:t>
            </w:r>
          </w:p>
        </w:tc>
        <w:tc>
          <w:tcPr>
            <w:tcW w:w="6662" w:type="dxa"/>
            <w:gridSpan w:val="2"/>
          </w:tcPr>
          <w:p w:rsidR="00BD7A25" w:rsidRPr="00BE3EDA" w:rsidRDefault="00BD7A25" w:rsidP="00BD7A25">
            <w:pPr>
              <w:spacing w:after="120"/>
              <w:jc w:val="both"/>
              <w:rPr>
                <w:b/>
                <w:sz w:val="22"/>
                <w:szCs w:val="22"/>
              </w:rPr>
            </w:pPr>
          </w:p>
        </w:tc>
      </w:tr>
      <w:tr w:rsidR="00BE3EDA" w:rsidRPr="00BE3EDA" w:rsidTr="00BE3EDA">
        <w:trPr>
          <w:gridAfter w:val="1"/>
          <w:wAfter w:w="2835" w:type="dxa"/>
          <w:trHeight w:val="334"/>
        </w:trPr>
        <w:tc>
          <w:tcPr>
            <w:tcW w:w="6662" w:type="dxa"/>
            <w:gridSpan w:val="2"/>
          </w:tcPr>
          <w:p w:rsidR="00BE3EDA" w:rsidRPr="00BE3EDA" w:rsidRDefault="00BE3EDA" w:rsidP="00BE3EDA">
            <w:pPr>
              <w:rPr>
                <w:sz w:val="22"/>
                <w:szCs w:val="22"/>
              </w:rPr>
            </w:pPr>
          </w:p>
        </w:tc>
      </w:tr>
      <w:tr w:rsidR="00BE3EDA" w:rsidRPr="00BE3EDA" w:rsidTr="00BE3EDA">
        <w:trPr>
          <w:trHeight w:val="334"/>
        </w:trPr>
        <w:tc>
          <w:tcPr>
            <w:tcW w:w="2835" w:type="dxa"/>
          </w:tcPr>
          <w:p w:rsidR="00BE3EDA" w:rsidRPr="00BE3EDA" w:rsidRDefault="00BE3EDA" w:rsidP="00BE3EDA">
            <w:pPr>
              <w:rPr>
                <w:sz w:val="22"/>
                <w:szCs w:val="22"/>
              </w:rPr>
            </w:pPr>
            <w:r w:rsidRPr="00BE3EDA">
              <w:rPr>
                <w:sz w:val="22"/>
                <w:szCs w:val="22"/>
              </w:rPr>
              <w:t>Uģis Citskovskis</w:t>
            </w:r>
          </w:p>
        </w:tc>
        <w:tc>
          <w:tcPr>
            <w:tcW w:w="6662" w:type="dxa"/>
            <w:gridSpan w:val="2"/>
          </w:tcPr>
          <w:p w:rsidR="00BE3EDA" w:rsidRPr="00BE3EDA" w:rsidRDefault="00BE3EDA" w:rsidP="00BE3EDA">
            <w:pPr>
              <w:rPr>
                <w:sz w:val="22"/>
                <w:szCs w:val="22"/>
              </w:rPr>
            </w:pPr>
            <w:proofErr w:type="spellStart"/>
            <w:r w:rsidRPr="00BE3EDA">
              <w:rPr>
                <w:sz w:val="22"/>
                <w:szCs w:val="22"/>
              </w:rPr>
              <w:t>Attīstības</w:t>
            </w:r>
            <w:proofErr w:type="spellEnd"/>
            <w:r w:rsidRPr="00BE3EDA">
              <w:rPr>
                <w:sz w:val="22"/>
                <w:szCs w:val="22"/>
              </w:rPr>
              <w:t xml:space="preserve"> </w:t>
            </w:r>
            <w:proofErr w:type="spellStart"/>
            <w:r w:rsidRPr="00BE3EDA">
              <w:rPr>
                <w:sz w:val="22"/>
                <w:szCs w:val="22"/>
              </w:rPr>
              <w:t>prorektora</w:t>
            </w:r>
            <w:proofErr w:type="spellEnd"/>
            <w:r w:rsidRPr="00BE3EDA">
              <w:rPr>
                <w:sz w:val="22"/>
                <w:szCs w:val="22"/>
              </w:rPr>
              <w:t xml:space="preserve"> </w:t>
            </w:r>
            <w:proofErr w:type="spellStart"/>
            <w:r w:rsidRPr="00BE3EDA">
              <w:rPr>
                <w:sz w:val="22"/>
                <w:szCs w:val="22"/>
              </w:rPr>
              <w:t>dienesta</w:t>
            </w:r>
            <w:proofErr w:type="spellEnd"/>
            <w:r w:rsidRPr="00BE3EDA">
              <w:rPr>
                <w:sz w:val="22"/>
                <w:szCs w:val="22"/>
              </w:rPr>
              <w:t xml:space="preserve"> </w:t>
            </w:r>
            <w:proofErr w:type="spellStart"/>
            <w:r w:rsidRPr="00BE3EDA">
              <w:rPr>
                <w:sz w:val="22"/>
                <w:szCs w:val="22"/>
              </w:rPr>
              <w:t>vecākais</w:t>
            </w:r>
            <w:proofErr w:type="spellEnd"/>
            <w:r w:rsidRPr="00BE3EDA">
              <w:rPr>
                <w:sz w:val="22"/>
                <w:szCs w:val="22"/>
              </w:rPr>
              <w:t xml:space="preserve"> </w:t>
            </w:r>
            <w:proofErr w:type="spellStart"/>
            <w:r w:rsidRPr="00BE3EDA">
              <w:rPr>
                <w:sz w:val="22"/>
                <w:szCs w:val="22"/>
              </w:rPr>
              <w:t>eksperts</w:t>
            </w:r>
            <w:proofErr w:type="spellEnd"/>
          </w:p>
        </w:tc>
      </w:tr>
      <w:tr w:rsidR="00BE3EDA" w:rsidRPr="00BE3EDA" w:rsidTr="00BE3EDA">
        <w:trPr>
          <w:trHeight w:val="334"/>
        </w:trPr>
        <w:tc>
          <w:tcPr>
            <w:tcW w:w="2835" w:type="dxa"/>
          </w:tcPr>
          <w:p w:rsidR="00BE3EDA" w:rsidRPr="00BE3EDA" w:rsidRDefault="00BE3EDA" w:rsidP="00BE3EDA">
            <w:pPr>
              <w:rPr>
                <w:sz w:val="22"/>
                <w:szCs w:val="22"/>
              </w:rPr>
            </w:pPr>
            <w:proofErr w:type="spellStart"/>
            <w:r w:rsidRPr="00BE3EDA">
              <w:rPr>
                <w:sz w:val="22"/>
                <w:szCs w:val="22"/>
              </w:rPr>
              <w:t>Igors</w:t>
            </w:r>
            <w:proofErr w:type="spellEnd"/>
            <w:r w:rsidRPr="00BE3EDA">
              <w:rPr>
                <w:sz w:val="22"/>
                <w:szCs w:val="22"/>
              </w:rPr>
              <w:t xml:space="preserve"> </w:t>
            </w:r>
            <w:proofErr w:type="spellStart"/>
            <w:r w:rsidRPr="00BE3EDA">
              <w:rPr>
                <w:sz w:val="22"/>
                <w:szCs w:val="22"/>
              </w:rPr>
              <w:t>Kozaks</w:t>
            </w:r>
            <w:proofErr w:type="spellEnd"/>
          </w:p>
          <w:p w:rsidR="00BE3EDA" w:rsidRPr="00BE3EDA" w:rsidRDefault="00BE3EDA" w:rsidP="00BE3EDA">
            <w:pPr>
              <w:rPr>
                <w:sz w:val="22"/>
                <w:szCs w:val="22"/>
              </w:rPr>
            </w:pPr>
          </w:p>
          <w:p w:rsidR="00BE3EDA" w:rsidRPr="00BE3EDA" w:rsidRDefault="00BE3EDA" w:rsidP="00BE3EDA">
            <w:pPr>
              <w:rPr>
                <w:sz w:val="22"/>
                <w:szCs w:val="22"/>
              </w:rPr>
            </w:pPr>
            <w:r w:rsidRPr="00BE3EDA">
              <w:rPr>
                <w:sz w:val="22"/>
                <w:szCs w:val="22"/>
              </w:rPr>
              <w:t xml:space="preserve">Dārta </w:t>
            </w:r>
            <w:proofErr w:type="spellStart"/>
            <w:r w:rsidRPr="00BE3EDA">
              <w:rPr>
                <w:sz w:val="22"/>
                <w:szCs w:val="22"/>
              </w:rPr>
              <w:t>Ūbele</w:t>
            </w:r>
            <w:proofErr w:type="spellEnd"/>
          </w:p>
        </w:tc>
        <w:tc>
          <w:tcPr>
            <w:tcW w:w="6662" w:type="dxa"/>
            <w:gridSpan w:val="2"/>
          </w:tcPr>
          <w:p w:rsidR="00BE3EDA" w:rsidRPr="00BE3EDA" w:rsidRDefault="00BE3EDA" w:rsidP="00BE3EDA">
            <w:pPr>
              <w:rPr>
                <w:sz w:val="22"/>
                <w:szCs w:val="22"/>
              </w:rPr>
            </w:pPr>
            <w:proofErr w:type="spellStart"/>
            <w:r w:rsidRPr="00BE3EDA">
              <w:rPr>
                <w:sz w:val="22"/>
                <w:szCs w:val="22"/>
              </w:rPr>
              <w:t>Biomedicīnas</w:t>
            </w:r>
            <w:proofErr w:type="spellEnd"/>
            <w:r w:rsidRPr="00BE3EDA">
              <w:rPr>
                <w:sz w:val="22"/>
                <w:szCs w:val="22"/>
              </w:rPr>
              <w:t xml:space="preserve"> </w:t>
            </w:r>
            <w:proofErr w:type="spellStart"/>
            <w:r w:rsidRPr="00BE3EDA">
              <w:rPr>
                <w:sz w:val="22"/>
                <w:szCs w:val="22"/>
              </w:rPr>
              <w:t>inženierzinātņu</w:t>
            </w:r>
            <w:proofErr w:type="spellEnd"/>
            <w:r w:rsidRPr="00BE3EDA">
              <w:rPr>
                <w:sz w:val="22"/>
                <w:szCs w:val="22"/>
              </w:rPr>
              <w:t xml:space="preserve"> un </w:t>
            </w:r>
            <w:proofErr w:type="spellStart"/>
            <w:r w:rsidRPr="00BE3EDA">
              <w:rPr>
                <w:sz w:val="22"/>
                <w:szCs w:val="22"/>
              </w:rPr>
              <w:t>nanotehnoloģu</w:t>
            </w:r>
            <w:proofErr w:type="spellEnd"/>
            <w:r w:rsidRPr="00BE3EDA">
              <w:rPr>
                <w:sz w:val="22"/>
                <w:szCs w:val="22"/>
              </w:rPr>
              <w:t xml:space="preserve"> </w:t>
            </w:r>
            <w:proofErr w:type="spellStart"/>
            <w:r w:rsidRPr="00BE3EDA">
              <w:rPr>
                <w:sz w:val="22"/>
                <w:szCs w:val="22"/>
              </w:rPr>
              <w:t>institūta</w:t>
            </w:r>
            <w:proofErr w:type="spellEnd"/>
            <w:r w:rsidRPr="00BE3EDA">
              <w:rPr>
                <w:sz w:val="22"/>
                <w:szCs w:val="22"/>
              </w:rPr>
              <w:t xml:space="preserve"> </w:t>
            </w:r>
            <w:proofErr w:type="spellStart"/>
            <w:r w:rsidRPr="00BE3EDA">
              <w:rPr>
                <w:sz w:val="22"/>
                <w:szCs w:val="22"/>
              </w:rPr>
              <w:t>inženieris</w:t>
            </w:r>
            <w:proofErr w:type="spellEnd"/>
          </w:p>
          <w:p w:rsidR="00BE3EDA" w:rsidRPr="00BE3EDA" w:rsidRDefault="00BE3EDA" w:rsidP="00BE3EDA">
            <w:pPr>
              <w:rPr>
                <w:sz w:val="22"/>
                <w:szCs w:val="22"/>
              </w:rPr>
            </w:pPr>
            <w:proofErr w:type="spellStart"/>
            <w:r w:rsidRPr="00BE3EDA">
              <w:rPr>
                <w:sz w:val="22"/>
                <w:szCs w:val="22"/>
              </w:rPr>
              <w:t>Biomateriālu</w:t>
            </w:r>
            <w:proofErr w:type="spellEnd"/>
            <w:r w:rsidRPr="00BE3EDA">
              <w:rPr>
                <w:sz w:val="22"/>
                <w:szCs w:val="22"/>
              </w:rPr>
              <w:t xml:space="preserve"> </w:t>
            </w:r>
            <w:proofErr w:type="spellStart"/>
            <w:r w:rsidRPr="00BE3EDA">
              <w:rPr>
                <w:sz w:val="22"/>
                <w:szCs w:val="22"/>
              </w:rPr>
              <w:t>zinātniskās</w:t>
            </w:r>
            <w:proofErr w:type="spellEnd"/>
            <w:r w:rsidRPr="00BE3EDA">
              <w:rPr>
                <w:sz w:val="22"/>
                <w:szCs w:val="22"/>
              </w:rPr>
              <w:t xml:space="preserve"> </w:t>
            </w:r>
            <w:proofErr w:type="spellStart"/>
            <w:r w:rsidRPr="00BE3EDA">
              <w:rPr>
                <w:sz w:val="22"/>
                <w:szCs w:val="22"/>
              </w:rPr>
              <w:t>pētniecības</w:t>
            </w:r>
            <w:proofErr w:type="spellEnd"/>
            <w:r w:rsidRPr="00BE3EDA">
              <w:rPr>
                <w:sz w:val="22"/>
                <w:szCs w:val="22"/>
              </w:rPr>
              <w:t xml:space="preserve"> </w:t>
            </w:r>
            <w:proofErr w:type="spellStart"/>
            <w:r w:rsidRPr="00BE3EDA">
              <w:rPr>
                <w:sz w:val="22"/>
                <w:szCs w:val="22"/>
              </w:rPr>
              <w:t>laboratorija</w:t>
            </w:r>
            <w:proofErr w:type="spellEnd"/>
            <w:r w:rsidRPr="00BE3EDA">
              <w:rPr>
                <w:sz w:val="22"/>
                <w:szCs w:val="22"/>
              </w:rPr>
              <w:t xml:space="preserve"> </w:t>
            </w:r>
            <w:proofErr w:type="spellStart"/>
            <w:r w:rsidRPr="00BE3EDA">
              <w:rPr>
                <w:sz w:val="22"/>
                <w:szCs w:val="22"/>
              </w:rPr>
              <w:t>pētniece</w:t>
            </w:r>
            <w:proofErr w:type="spellEnd"/>
          </w:p>
        </w:tc>
      </w:tr>
      <w:tr w:rsidR="00BE3EDA" w:rsidRPr="00BE3EDA" w:rsidTr="00BE3EDA">
        <w:trPr>
          <w:trHeight w:val="334"/>
        </w:trPr>
        <w:tc>
          <w:tcPr>
            <w:tcW w:w="2835" w:type="dxa"/>
          </w:tcPr>
          <w:p w:rsidR="00BE3EDA" w:rsidRPr="00BE3EDA" w:rsidRDefault="00BE3EDA" w:rsidP="00BE3EDA">
            <w:pPr>
              <w:rPr>
                <w:sz w:val="22"/>
                <w:szCs w:val="22"/>
              </w:rPr>
            </w:pPr>
            <w:r w:rsidRPr="00BE3EDA">
              <w:rPr>
                <w:sz w:val="22"/>
                <w:szCs w:val="22"/>
              </w:rPr>
              <w:t>Juris Korhs</w:t>
            </w:r>
          </w:p>
        </w:tc>
        <w:tc>
          <w:tcPr>
            <w:tcW w:w="6662" w:type="dxa"/>
            <w:gridSpan w:val="2"/>
          </w:tcPr>
          <w:p w:rsidR="00BE3EDA" w:rsidRPr="00BE3EDA" w:rsidRDefault="00BE3EDA" w:rsidP="00BE3EDA">
            <w:pPr>
              <w:rPr>
                <w:sz w:val="22"/>
                <w:szCs w:val="22"/>
              </w:rPr>
            </w:pPr>
            <w:proofErr w:type="spellStart"/>
            <w:r w:rsidRPr="00BE3EDA">
              <w:rPr>
                <w:sz w:val="22"/>
                <w:szCs w:val="22"/>
              </w:rPr>
              <w:t>Ķīpsalas</w:t>
            </w:r>
            <w:proofErr w:type="spellEnd"/>
            <w:r w:rsidRPr="00BE3EDA">
              <w:rPr>
                <w:sz w:val="22"/>
                <w:szCs w:val="22"/>
              </w:rPr>
              <w:t xml:space="preserve"> </w:t>
            </w:r>
            <w:proofErr w:type="spellStart"/>
            <w:r w:rsidRPr="00BE3EDA">
              <w:rPr>
                <w:sz w:val="22"/>
                <w:szCs w:val="22"/>
              </w:rPr>
              <w:t>kompleksa</w:t>
            </w:r>
            <w:proofErr w:type="spellEnd"/>
            <w:r w:rsidRPr="00BE3EDA">
              <w:rPr>
                <w:sz w:val="22"/>
                <w:szCs w:val="22"/>
              </w:rPr>
              <w:t xml:space="preserve"> </w:t>
            </w:r>
            <w:proofErr w:type="spellStart"/>
            <w:r w:rsidRPr="00BE3EDA">
              <w:rPr>
                <w:sz w:val="22"/>
                <w:szCs w:val="22"/>
              </w:rPr>
              <w:t>pārvaldes</w:t>
            </w:r>
            <w:proofErr w:type="spellEnd"/>
            <w:r w:rsidRPr="00BE3EDA">
              <w:rPr>
                <w:sz w:val="22"/>
                <w:szCs w:val="22"/>
              </w:rPr>
              <w:t xml:space="preserve"> </w:t>
            </w:r>
            <w:proofErr w:type="spellStart"/>
            <w:r w:rsidRPr="00BE3EDA">
              <w:rPr>
                <w:sz w:val="22"/>
                <w:szCs w:val="22"/>
              </w:rPr>
              <w:t>grupas</w:t>
            </w:r>
            <w:proofErr w:type="spellEnd"/>
            <w:r w:rsidRPr="00BE3EDA">
              <w:rPr>
                <w:sz w:val="22"/>
                <w:szCs w:val="22"/>
              </w:rPr>
              <w:t xml:space="preserve"> </w:t>
            </w:r>
            <w:proofErr w:type="spellStart"/>
            <w:r w:rsidRPr="00BE3EDA">
              <w:rPr>
                <w:sz w:val="22"/>
                <w:szCs w:val="22"/>
              </w:rPr>
              <w:t>nekustamā</w:t>
            </w:r>
            <w:proofErr w:type="spellEnd"/>
            <w:r w:rsidRPr="00BE3EDA">
              <w:rPr>
                <w:sz w:val="22"/>
                <w:szCs w:val="22"/>
              </w:rPr>
              <w:t xml:space="preserve"> </w:t>
            </w:r>
            <w:proofErr w:type="spellStart"/>
            <w:r w:rsidRPr="00BE3EDA">
              <w:rPr>
                <w:sz w:val="22"/>
                <w:szCs w:val="22"/>
              </w:rPr>
              <w:t>īpašuma</w:t>
            </w:r>
            <w:proofErr w:type="spellEnd"/>
            <w:r w:rsidRPr="00BE3EDA">
              <w:rPr>
                <w:sz w:val="22"/>
                <w:szCs w:val="22"/>
              </w:rPr>
              <w:t xml:space="preserve"> </w:t>
            </w:r>
            <w:proofErr w:type="spellStart"/>
            <w:r w:rsidRPr="00BE3EDA">
              <w:rPr>
                <w:sz w:val="22"/>
                <w:szCs w:val="22"/>
              </w:rPr>
              <w:t>speciālists</w:t>
            </w:r>
            <w:proofErr w:type="spellEnd"/>
          </w:p>
        </w:tc>
      </w:tr>
    </w:tbl>
    <w:p w:rsidR="00844E56" w:rsidRPr="00844E56" w:rsidRDefault="00844E56" w:rsidP="001743BB">
      <w:pPr>
        <w:numPr>
          <w:ilvl w:val="0"/>
          <w:numId w:val="2"/>
        </w:numPr>
        <w:spacing w:before="120"/>
        <w:ind w:left="270" w:hanging="270"/>
        <w:jc w:val="both"/>
        <w:rPr>
          <w:sz w:val="22"/>
          <w:szCs w:val="22"/>
          <w:lang w:val="lv-LV"/>
        </w:rPr>
      </w:pPr>
      <w:r>
        <w:rPr>
          <w:b/>
          <w:sz w:val="22"/>
          <w:szCs w:val="22"/>
          <w:lang w:val="lv-LV"/>
        </w:rPr>
        <w:t>Tehniskās specifikācijas sagatavot</w:t>
      </w:r>
      <w:r w:rsidR="00036246">
        <w:rPr>
          <w:b/>
          <w:sz w:val="22"/>
          <w:szCs w:val="22"/>
          <w:lang w:val="lv-LV"/>
        </w:rPr>
        <w:t xml:space="preserve">ājs: </w:t>
      </w:r>
      <w:r w:rsidR="00BE3EDA">
        <w:rPr>
          <w:sz w:val="22"/>
          <w:szCs w:val="22"/>
        </w:rPr>
        <w:t>Jurijs Dehtjars</w:t>
      </w:r>
      <w:r w:rsidR="00D70F6F">
        <w:rPr>
          <w:sz w:val="22"/>
          <w:szCs w:val="22"/>
          <w:lang w:val="lv-LV"/>
        </w:rPr>
        <w:t>.</w:t>
      </w:r>
      <w:r w:rsidRPr="00844E56">
        <w:rPr>
          <w:sz w:val="22"/>
          <w:szCs w:val="22"/>
          <w:lang w:val="lv-LV"/>
        </w:rPr>
        <w:t xml:space="preserve"> </w:t>
      </w:r>
    </w:p>
    <w:p w:rsidR="00042650" w:rsidRDefault="001743BB" w:rsidP="001743BB">
      <w:pPr>
        <w:numPr>
          <w:ilvl w:val="0"/>
          <w:numId w:val="2"/>
        </w:numPr>
        <w:spacing w:before="120"/>
        <w:ind w:left="270" w:hanging="270"/>
        <w:jc w:val="both"/>
        <w:rPr>
          <w:b/>
          <w:sz w:val="22"/>
          <w:szCs w:val="22"/>
          <w:lang w:val="lv-LV"/>
        </w:rPr>
      </w:pPr>
      <w:r w:rsidRPr="001743BB">
        <w:rPr>
          <w:b/>
          <w:sz w:val="22"/>
          <w:szCs w:val="22"/>
          <w:lang w:val="lv-LV"/>
        </w:rPr>
        <w:t>Pretendentiem noteiktās kvalifikācijas prasības:</w:t>
      </w:r>
    </w:p>
    <w:tbl>
      <w:tblPr>
        <w:tblW w:w="9351"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9"/>
        <w:gridCol w:w="5392"/>
      </w:tblGrid>
      <w:tr w:rsidR="008B79A5" w:rsidRPr="007871B2" w:rsidTr="006772AE">
        <w:trPr>
          <w:trHeight w:val="781"/>
        </w:trPr>
        <w:tc>
          <w:tcPr>
            <w:tcW w:w="39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B79A5" w:rsidRPr="00AD7605" w:rsidRDefault="008B79A5" w:rsidP="006772AE">
            <w:pPr>
              <w:pStyle w:val="Style1"/>
              <w:numPr>
                <w:ilvl w:val="1"/>
                <w:numId w:val="9"/>
              </w:numPr>
              <w:tabs>
                <w:tab w:val="clear" w:pos="786"/>
                <w:tab w:val="num" w:pos="450"/>
              </w:tabs>
              <w:ind w:left="450"/>
              <w:jc w:val="both"/>
              <w:rPr>
                <w:rFonts w:ascii="Times New Roman" w:hAnsi="Times New Roman" w:cs="Times New Roman"/>
                <w:sz w:val="22"/>
                <w:szCs w:val="22"/>
              </w:rPr>
            </w:pPr>
            <w:r w:rsidRPr="00AD7605">
              <w:rPr>
                <w:rFonts w:ascii="Times New Roman" w:hAnsi="Times New Roman" w:cs="Times New Roman"/>
                <w:sz w:val="22"/>
                <w:szCs w:val="22"/>
              </w:rPr>
              <w:t>Pretendentam ir jāatbilst šādām pretendenta kvalifikācijas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B79A5" w:rsidRPr="00AD7605" w:rsidRDefault="008B79A5" w:rsidP="006772AE">
            <w:pPr>
              <w:pStyle w:val="Style1"/>
              <w:numPr>
                <w:ilvl w:val="1"/>
                <w:numId w:val="9"/>
              </w:numPr>
              <w:tabs>
                <w:tab w:val="clear" w:pos="786"/>
                <w:tab w:val="num" w:pos="450"/>
              </w:tabs>
              <w:ind w:left="450"/>
              <w:jc w:val="both"/>
              <w:rPr>
                <w:rFonts w:ascii="Times New Roman" w:hAnsi="Times New Roman" w:cs="Times New Roman"/>
                <w:sz w:val="22"/>
                <w:szCs w:val="22"/>
              </w:rPr>
            </w:pPr>
            <w:r w:rsidRPr="00AD7605">
              <w:rPr>
                <w:rFonts w:ascii="Times New Roman" w:hAnsi="Times New Roman" w:cs="Times New Roman"/>
                <w:sz w:val="22"/>
                <w:szCs w:val="22"/>
              </w:rPr>
              <w:t>Lai apliecinātu atbilstību Pasūtītāja noteiktajām kvalifikācijas prasībām, pretendentam jāiesniedz šādi pretendenta prasības apliecinošie dokumenti:</w:t>
            </w:r>
          </w:p>
        </w:tc>
      </w:tr>
      <w:tr w:rsidR="008B79A5" w:rsidRPr="0069000A" w:rsidTr="006772AE">
        <w:trPr>
          <w:trHeight w:val="775"/>
        </w:trPr>
        <w:tc>
          <w:tcPr>
            <w:tcW w:w="3959" w:type="dxa"/>
            <w:tcBorders>
              <w:top w:val="single" w:sz="12" w:space="0" w:color="auto"/>
            </w:tcBorders>
            <w:shd w:val="clear" w:color="auto" w:fill="auto"/>
          </w:tcPr>
          <w:p w:rsidR="008B79A5" w:rsidRPr="00AD7605" w:rsidRDefault="008B79A5" w:rsidP="006772AE">
            <w:pPr>
              <w:pStyle w:val="ListParagraph"/>
              <w:ind w:left="34"/>
              <w:jc w:val="both"/>
              <w:rPr>
                <w:sz w:val="22"/>
                <w:szCs w:val="22"/>
                <w:lang w:val="lv-LV"/>
              </w:rPr>
            </w:pPr>
            <w:r w:rsidRPr="00AD7605">
              <w:rPr>
                <w:sz w:val="22"/>
                <w:szCs w:val="22"/>
                <w:lang w:val="lv-LV"/>
              </w:rPr>
              <w:t>4.1.1. Pretendents piekrīt nolikuma noteikumiem.</w:t>
            </w:r>
          </w:p>
          <w:p w:rsidR="008B79A5" w:rsidRPr="00AD7605" w:rsidRDefault="008B79A5" w:rsidP="006772AE">
            <w:pPr>
              <w:pStyle w:val="ListParagraph"/>
              <w:ind w:left="34"/>
              <w:rPr>
                <w:sz w:val="22"/>
                <w:szCs w:val="22"/>
                <w:lang w:val="lv-LV"/>
              </w:rPr>
            </w:pPr>
          </w:p>
        </w:tc>
        <w:tc>
          <w:tcPr>
            <w:tcW w:w="5392" w:type="dxa"/>
            <w:tcBorders>
              <w:top w:val="single" w:sz="12" w:space="0" w:color="auto"/>
            </w:tcBorders>
            <w:shd w:val="clear" w:color="auto" w:fill="auto"/>
          </w:tcPr>
          <w:p w:rsidR="008B79A5" w:rsidRPr="00AD7605" w:rsidRDefault="008B79A5" w:rsidP="006772AE">
            <w:pPr>
              <w:pStyle w:val="ListParagraph"/>
              <w:tabs>
                <w:tab w:val="left" w:pos="1440"/>
              </w:tabs>
              <w:suppressAutoHyphens/>
              <w:ind w:left="0"/>
              <w:jc w:val="both"/>
              <w:rPr>
                <w:sz w:val="22"/>
                <w:szCs w:val="22"/>
                <w:lang w:val="lv-LV"/>
              </w:rPr>
            </w:pPr>
            <w:r w:rsidRPr="00AD7605">
              <w:rPr>
                <w:sz w:val="22"/>
                <w:szCs w:val="22"/>
                <w:lang w:val="lv-LV"/>
              </w:rPr>
              <w:t xml:space="preserve">4.2.1. </w:t>
            </w:r>
            <w:r w:rsidRPr="00AD7605">
              <w:rPr>
                <w:b/>
                <w:sz w:val="22"/>
                <w:szCs w:val="22"/>
                <w:lang w:val="lv-LV"/>
              </w:rPr>
              <w:t xml:space="preserve">Pretendenta </w:t>
            </w:r>
            <w:smartTag w:uri="schemas-tilde-lv/tildestengine" w:element="veidnes">
              <w:smartTagPr>
                <w:attr w:name="id" w:val="-1"/>
                <w:attr w:name="baseform" w:val="pieteikums"/>
                <w:attr w:name="text" w:val="pieteikums"/>
              </w:smartTagPr>
              <w:r w:rsidRPr="00AD7605">
                <w:rPr>
                  <w:b/>
                  <w:sz w:val="22"/>
                  <w:szCs w:val="22"/>
                  <w:lang w:val="lv-LV"/>
                </w:rPr>
                <w:t>pieteikums</w:t>
              </w:r>
            </w:smartTag>
            <w:r w:rsidRPr="00AD7605">
              <w:rPr>
                <w:b/>
                <w:sz w:val="22"/>
                <w:szCs w:val="22"/>
                <w:lang w:val="lv-LV"/>
              </w:rPr>
              <w:t xml:space="preserve"> par piedalīšanos iepirkumā</w:t>
            </w:r>
            <w:r w:rsidRPr="00AD7605">
              <w:rPr>
                <w:sz w:val="22"/>
                <w:szCs w:val="22"/>
                <w:lang w:val="lv-LV"/>
              </w:rPr>
              <w:t xml:space="preserve">, kas ir aizpildīts atbilstoši nolikuma pielikumam Nr.1 – Pieteikuma vēstules formai. </w:t>
            </w:r>
          </w:p>
          <w:p w:rsidR="008B79A5" w:rsidRPr="00AD7605" w:rsidRDefault="008B79A5" w:rsidP="006772AE">
            <w:pPr>
              <w:pStyle w:val="ListParagraph"/>
              <w:ind w:left="0"/>
              <w:jc w:val="both"/>
              <w:rPr>
                <w:sz w:val="22"/>
                <w:szCs w:val="22"/>
                <w:lang w:val="lv-LV"/>
              </w:rPr>
            </w:pPr>
            <w:r w:rsidRPr="00AD7605">
              <w:rPr>
                <w:sz w:val="22"/>
                <w:szCs w:val="22"/>
                <w:lang w:val="lv-LV"/>
              </w:rPr>
              <w:t>Ja piedāvājumu iesniedz personu apvienība, pieteikumu par piedalīšanos iepirkumā paraksta visi personu apvienības dalībnieki vai arī visu personu apvienības dalībnieku pilnvarotā persona.</w:t>
            </w:r>
          </w:p>
        </w:tc>
      </w:tr>
      <w:tr w:rsidR="008B79A5" w:rsidRPr="0069000A" w:rsidTr="006772AE">
        <w:trPr>
          <w:trHeight w:val="538"/>
        </w:trPr>
        <w:tc>
          <w:tcPr>
            <w:tcW w:w="3959" w:type="dxa"/>
            <w:tcBorders>
              <w:top w:val="single" w:sz="12" w:space="0" w:color="auto"/>
            </w:tcBorders>
            <w:shd w:val="clear" w:color="auto" w:fill="auto"/>
          </w:tcPr>
          <w:p w:rsidR="008B79A5" w:rsidRPr="00AD7605" w:rsidRDefault="008B79A5" w:rsidP="006772AE">
            <w:pPr>
              <w:pStyle w:val="ListParagraph"/>
              <w:ind w:left="34"/>
              <w:jc w:val="both"/>
              <w:rPr>
                <w:sz w:val="22"/>
                <w:szCs w:val="22"/>
                <w:lang w:val="lv-LV"/>
              </w:rPr>
            </w:pPr>
            <w:r w:rsidRPr="00AD7605">
              <w:rPr>
                <w:sz w:val="22"/>
                <w:szCs w:val="22"/>
                <w:lang w:val="lv-LV"/>
              </w:rPr>
              <w:lastRenderedPageBreak/>
              <w:t>4.1.2. Pretendenta pārstāvim, kas parakstījis piedāvājuma dokumentus, ir pārstāvības (paraksta) tiesības.</w:t>
            </w:r>
          </w:p>
          <w:p w:rsidR="008B79A5" w:rsidRPr="00AD7605" w:rsidRDefault="008B79A5" w:rsidP="006772AE">
            <w:pPr>
              <w:pStyle w:val="ListParagraph"/>
              <w:ind w:left="34"/>
              <w:jc w:val="both"/>
              <w:rPr>
                <w:i/>
                <w:sz w:val="22"/>
                <w:szCs w:val="22"/>
                <w:lang w:val="en-US"/>
              </w:rPr>
            </w:pPr>
          </w:p>
        </w:tc>
        <w:tc>
          <w:tcPr>
            <w:tcW w:w="5392" w:type="dxa"/>
            <w:tcBorders>
              <w:top w:val="single" w:sz="12" w:space="0" w:color="auto"/>
            </w:tcBorders>
            <w:shd w:val="clear" w:color="auto" w:fill="auto"/>
          </w:tcPr>
          <w:p w:rsidR="008B79A5" w:rsidRPr="00AD7605" w:rsidRDefault="008B79A5" w:rsidP="006772AE">
            <w:pPr>
              <w:pStyle w:val="ListParagraph"/>
              <w:tabs>
                <w:tab w:val="left" w:pos="1440"/>
              </w:tabs>
              <w:suppressAutoHyphens/>
              <w:ind w:left="0"/>
              <w:jc w:val="both"/>
              <w:rPr>
                <w:sz w:val="22"/>
                <w:szCs w:val="22"/>
                <w:lang w:val="lv-LV"/>
              </w:rPr>
            </w:pPr>
            <w:r w:rsidRPr="00AD7605">
              <w:rPr>
                <w:sz w:val="22"/>
                <w:szCs w:val="22"/>
                <w:lang w:val="lv-LV"/>
              </w:rPr>
              <w:t xml:space="preserve">4.2.2. </w:t>
            </w:r>
            <w:r w:rsidRPr="00AD7605">
              <w:rPr>
                <w:b/>
                <w:sz w:val="22"/>
                <w:szCs w:val="22"/>
                <w:lang w:val="lv-LV"/>
              </w:rPr>
              <w:t>Dokuments, kas apliecina pretendenta pārstāvja paraksta (pārstāvības) tiesības</w:t>
            </w:r>
            <w:r w:rsidRPr="00AD7605">
              <w:rPr>
                <w:sz w:val="22"/>
                <w:szCs w:val="22"/>
                <w:lang w:val="lv-LV"/>
              </w:rPr>
              <w:t xml:space="preserve">. </w:t>
            </w:r>
          </w:p>
          <w:p w:rsidR="008B79A5" w:rsidRPr="00AD7605" w:rsidRDefault="008B79A5" w:rsidP="006772AE">
            <w:pPr>
              <w:pStyle w:val="ListParagraph"/>
              <w:tabs>
                <w:tab w:val="left" w:pos="1440"/>
              </w:tabs>
              <w:suppressAutoHyphens/>
              <w:ind w:left="0"/>
              <w:jc w:val="both"/>
              <w:rPr>
                <w:sz w:val="22"/>
                <w:szCs w:val="22"/>
                <w:lang w:val="lv-LV"/>
              </w:rPr>
            </w:pPr>
            <w:r w:rsidRPr="00AD7605">
              <w:rPr>
                <w:sz w:val="22"/>
                <w:szCs w:val="22"/>
                <w:lang w:val="lv-LV"/>
              </w:rPr>
              <w:t xml:space="preserve">Ja tiek iesniegta pilnvara, pilnvarai pievieno pilnvaras devēja pārstāvības (paraksta) tiesības apliecinošu dokumentu. </w:t>
            </w:r>
          </w:p>
          <w:p w:rsidR="008B79A5" w:rsidRPr="00AD7605" w:rsidRDefault="008B79A5" w:rsidP="006772AE">
            <w:pPr>
              <w:pStyle w:val="ListParagraph"/>
              <w:tabs>
                <w:tab w:val="left" w:pos="1440"/>
              </w:tabs>
              <w:suppressAutoHyphens/>
              <w:ind w:left="0"/>
              <w:jc w:val="both"/>
              <w:rPr>
                <w:sz w:val="22"/>
                <w:szCs w:val="22"/>
                <w:lang w:val="lv-LV"/>
              </w:rPr>
            </w:pPr>
            <w:r w:rsidRPr="00AD7605">
              <w:rPr>
                <w:sz w:val="22"/>
                <w:szCs w:val="22"/>
                <w:lang w:val="lv-LV"/>
              </w:rPr>
              <w:t xml:space="preserve">Ja piedāvājumu iesniedz personu apvienība un pieteikumu paraksta visu personu apvienības dalībnieku pilnvarotā persona (atbilstoši nolikuma 4.4.punktā paredzētajam), piedāvājumā iekļauj dokumentu, kuru parakstījušas visu personu apvienības dalībnieku </w:t>
            </w:r>
            <w:proofErr w:type="spellStart"/>
            <w:r w:rsidRPr="00AD7605">
              <w:rPr>
                <w:sz w:val="22"/>
                <w:szCs w:val="22"/>
                <w:lang w:val="lv-LV"/>
              </w:rPr>
              <w:t>paraksttiesīgās</w:t>
            </w:r>
            <w:proofErr w:type="spellEnd"/>
            <w:r w:rsidRPr="00AD7605">
              <w:rPr>
                <w:sz w:val="22"/>
                <w:szCs w:val="22"/>
                <w:lang w:val="lv-LV"/>
              </w:rPr>
              <w:t xml:space="preserve"> personas un kurā ir norādīts pilnvarotais personu apvienības dalībnieku pārstāvis un tā pilnvaru apjoms.</w:t>
            </w:r>
          </w:p>
        </w:tc>
      </w:tr>
      <w:tr w:rsidR="008B79A5" w:rsidRPr="007871B2" w:rsidTr="006772AE">
        <w:trPr>
          <w:trHeight w:val="389"/>
        </w:trPr>
        <w:tc>
          <w:tcPr>
            <w:tcW w:w="9351" w:type="dxa"/>
            <w:gridSpan w:val="2"/>
            <w:tcBorders>
              <w:top w:val="single" w:sz="12" w:space="0" w:color="auto"/>
            </w:tcBorders>
            <w:shd w:val="clear" w:color="auto" w:fill="auto"/>
          </w:tcPr>
          <w:p w:rsidR="008B79A5" w:rsidRPr="00AD7605" w:rsidRDefault="008B79A5" w:rsidP="006772AE">
            <w:pPr>
              <w:pStyle w:val="ListParagraph"/>
              <w:tabs>
                <w:tab w:val="left" w:pos="1440"/>
              </w:tabs>
              <w:suppressAutoHyphens/>
              <w:ind w:left="0"/>
              <w:jc w:val="center"/>
              <w:rPr>
                <w:b/>
                <w:sz w:val="22"/>
                <w:szCs w:val="22"/>
                <w:lang w:val="lv-LV"/>
              </w:rPr>
            </w:pPr>
            <w:r w:rsidRPr="00AD7605">
              <w:rPr>
                <w:b/>
                <w:sz w:val="22"/>
                <w:szCs w:val="22"/>
                <w:lang w:val="lv-LV"/>
              </w:rPr>
              <w:t>Atbilstība profesionālās darbības veikšanai</w:t>
            </w:r>
          </w:p>
        </w:tc>
      </w:tr>
      <w:tr w:rsidR="008B79A5" w:rsidRPr="0069000A" w:rsidTr="006772AE">
        <w:trPr>
          <w:trHeight w:val="558"/>
        </w:trPr>
        <w:tc>
          <w:tcPr>
            <w:tcW w:w="3959" w:type="dxa"/>
            <w:shd w:val="clear" w:color="auto" w:fill="auto"/>
          </w:tcPr>
          <w:p w:rsidR="008B79A5" w:rsidRPr="00AD7605" w:rsidRDefault="008B79A5" w:rsidP="006772AE">
            <w:pPr>
              <w:pStyle w:val="ListParagraph"/>
              <w:ind w:left="0"/>
              <w:jc w:val="both"/>
              <w:rPr>
                <w:i/>
                <w:sz w:val="22"/>
                <w:szCs w:val="22"/>
                <w:lang w:val="lv-LV"/>
              </w:rPr>
            </w:pPr>
            <w:r w:rsidRPr="00AD7605">
              <w:rPr>
                <w:sz w:val="22"/>
                <w:szCs w:val="22"/>
                <w:lang w:val="lv-LV"/>
              </w:rPr>
              <w:t>4.1.3. Pretendents ir reģistrēts atbilstoši attiecīgās valsts normatīvo aktu prasībām.</w:t>
            </w:r>
          </w:p>
          <w:p w:rsidR="008B79A5" w:rsidRPr="00AD7605" w:rsidRDefault="008B79A5" w:rsidP="006772AE">
            <w:pPr>
              <w:pStyle w:val="ListParagraph"/>
              <w:ind w:left="0"/>
              <w:jc w:val="both"/>
              <w:rPr>
                <w:sz w:val="22"/>
                <w:szCs w:val="22"/>
                <w:lang w:val="lv-LV"/>
              </w:rPr>
            </w:pPr>
          </w:p>
        </w:tc>
        <w:tc>
          <w:tcPr>
            <w:tcW w:w="5392" w:type="dxa"/>
            <w:shd w:val="clear" w:color="auto" w:fill="auto"/>
          </w:tcPr>
          <w:p w:rsidR="008B79A5" w:rsidRPr="00AD7605" w:rsidRDefault="008B79A5" w:rsidP="006772AE">
            <w:pPr>
              <w:jc w:val="both"/>
              <w:rPr>
                <w:b/>
                <w:sz w:val="22"/>
                <w:szCs w:val="22"/>
                <w:lang w:val="lv-LV"/>
              </w:rPr>
            </w:pPr>
            <w:r w:rsidRPr="00AD7605">
              <w:rPr>
                <w:sz w:val="22"/>
                <w:szCs w:val="22"/>
                <w:lang w:val="lv-LV"/>
              </w:rPr>
              <w:t xml:space="preserve">4.2.3. Lai pārbaudītu nolikuma 4.1.3.punkta izpildi, par Latvijas Republikā reģistrētu pretendentu reģistrāciju atbilstoši normatīvo aktu prasībām Iepirkuma komisija pārliecināsies Uzņēmumu reģistra datu bāzē. </w:t>
            </w:r>
            <w:r w:rsidRPr="00AD7605">
              <w:rPr>
                <w:b/>
                <w:sz w:val="22"/>
                <w:szCs w:val="22"/>
                <w:lang w:val="lv-LV"/>
              </w:rPr>
              <w:t>Ārvalstī reģistrētam pretendentam jāiesniedz kompetentas attiecīgās valsts institūcijas izsniegts dokuments, kas apliecina, ka pretendents ir reģistrēts atbilstoši tās valsts normatīvo aktu prasībām.</w:t>
            </w:r>
          </w:p>
        </w:tc>
      </w:tr>
      <w:tr w:rsidR="008B79A5" w:rsidRPr="0069000A" w:rsidTr="006772AE">
        <w:trPr>
          <w:trHeight w:val="558"/>
        </w:trPr>
        <w:tc>
          <w:tcPr>
            <w:tcW w:w="3959" w:type="dxa"/>
            <w:shd w:val="clear" w:color="auto" w:fill="auto"/>
          </w:tcPr>
          <w:p w:rsidR="008B79A5" w:rsidRPr="00AD7605" w:rsidRDefault="008B79A5" w:rsidP="006772AE">
            <w:pPr>
              <w:pStyle w:val="ListParagraph"/>
              <w:ind w:left="0"/>
              <w:jc w:val="both"/>
              <w:rPr>
                <w:color w:val="000000"/>
                <w:sz w:val="22"/>
                <w:szCs w:val="22"/>
              </w:rPr>
            </w:pPr>
            <w:r w:rsidRPr="00AD7605">
              <w:rPr>
                <w:sz w:val="22"/>
                <w:szCs w:val="22"/>
              </w:rPr>
              <w:t xml:space="preserve">4.1.4. </w:t>
            </w:r>
            <w:proofErr w:type="spellStart"/>
            <w:r w:rsidRPr="00AD7605">
              <w:rPr>
                <w:color w:val="000000"/>
                <w:sz w:val="22"/>
                <w:szCs w:val="22"/>
              </w:rPr>
              <w:t>Pretendentam</w:t>
            </w:r>
            <w:proofErr w:type="spellEnd"/>
            <w:r w:rsidRPr="00AD7605">
              <w:rPr>
                <w:color w:val="000000"/>
                <w:sz w:val="22"/>
                <w:szCs w:val="22"/>
              </w:rPr>
              <w:t xml:space="preserve"> </w:t>
            </w:r>
            <w:proofErr w:type="spellStart"/>
            <w:r w:rsidRPr="00AD7605">
              <w:rPr>
                <w:color w:val="000000"/>
                <w:sz w:val="22"/>
                <w:szCs w:val="22"/>
              </w:rPr>
              <w:t>ir</w:t>
            </w:r>
            <w:proofErr w:type="spellEnd"/>
            <w:r w:rsidRPr="00AD7605">
              <w:rPr>
                <w:color w:val="000000"/>
                <w:sz w:val="22"/>
                <w:szCs w:val="22"/>
              </w:rPr>
              <w:t xml:space="preserve"> </w:t>
            </w:r>
            <w:proofErr w:type="spellStart"/>
            <w:r w:rsidRPr="00AD7605">
              <w:rPr>
                <w:color w:val="000000"/>
                <w:sz w:val="22"/>
                <w:szCs w:val="22"/>
              </w:rPr>
              <w:t>jānodrošina</w:t>
            </w:r>
            <w:proofErr w:type="spellEnd"/>
            <w:r w:rsidRPr="00AD7605">
              <w:rPr>
                <w:color w:val="000000"/>
                <w:sz w:val="22"/>
                <w:szCs w:val="22"/>
              </w:rPr>
              <w:t xml:space="preserve"> </w:t>
            </w:r>
            <w:proofErr w:type="spellStart"/>
            <w:r w:rsidRPr="00AD7605">
              <w:rPr>
                <w:color w:val="000000"/>
                <w:sz w:val="22"/>
                <w:szCs w:val="22"/>
              </w:rPr>
              <w:t>piedāvātā</w:t>
            </w:r>
            <w:proofErr w:type="spellEnd"/>
            <w:r w:rsidRPr="00AD7605">
              <w:rPr>
                <w:color w:val="000000"/>
                <w:sz w:val="22"/>
                <w:szCs w:val="22"/>
              </w:rPr>
              <w:t xml:space="preserve"> </w:t>
            </w:r>
            <w:proofErr w:type="spellStart"/>
            <w:r w:rsidRPr="00AD7605">
              <w:rPr>
                <w:color w:val="000000"/>
                <w:sz w:val="22"/>
                <w:szCs w:val="22"/>
              </w:rPr>
              <w:t>iepirkuma</w:t>
            </w:r>
            <w:proofErr w:type="spellEnd"/>
            <w:r w:rsidRPr="00AD7605">
              <w:rPr>
                <w:color w:val="000000"/>
                <w:sz w:val="22"/>
                <w:szCs w:val="22"/>
              </w:rPr>
              <w:t xml:space="preserve"> </w:t>
            </w:r>
            <w:proofErr w:type="spellStart"/>
            <w:r w:rsidRPr="00AD7605">
              <w:rPr>
                <w:color w:val="000000"/>
                <w:sz w:val="22"/>
                <w:szCs w:val="22"/>
              </w:rPr>
              <w:t>priekšmeta</w:t>
            </w:r>
            <w:proofErr w:type="spellEnd"/>
            <w:r w:rsidRPr="00AD7605">
              <w:rPr>
                <w:rFonts w:eastAsia="MS Mincho"/>
                <w:sz w:val="22"/>
                <w:szCs w:val="22"/>
                <w:lang w:val="lv-LV" w:eastAsia="lv-LV"/>
              </w:rPr>
              <w:t xml:space="preserve"> </w:t>
            </w:r>
            <w:proofErr w:type="spellStart"/>
            <w:r w:rsidRPr="00AD7605">
              <w:rPr>
                <w:color w:val="000000"/>
                <w:sz w:val="22"/>
                <w:szCs w:val="22"/>
              </w:rPr>
              <w:t>garantijas</w:t>
            </w:r>
            <w:proofErr w:type="spellEnd"/>
            <w:r w:rsidRPr="00AD7605">
              <w:rPr>
                <w:color w:val="000000"/>
                <w:sz w:val="22"/>
                <w:szCs w:val="22"/>
              </w:rPr>
              <w:t xml:space="preserve"> </w:t>
            </w:r>
            <w:proofErr w:type="spellStart"/>
            <w:r w:rsidRPr="00AD7605">
              <w:rPr>
                <w:color w:val="000000"/>
                <w:sz w:val="22"/>
                <w:szCs w:val="22"/>
              </w:rPr>
              <w:t>laika</w:t>
            </w:r>
            <w:proofErr w:type="spellEnd"/>
            <w:r w:rsidRPr="00AD7605">
              <w:rPr>
                <w:color w:val="000000"/>
                <w:sz w:val="22"/>
                <w:szCs w:val="22"/>
              </w:rPr>
              <w:t xml:space="preserve"> </w:t>
            </w:r>
            <w:proofErr w:type="spellStart"/>
            <w:r w:rsidRPr="00AD7605">
              <w:rPr>
                <w:color w:val="000000"/>
                <w:sz w:val="22"/>
                <w:szCs w:val="22"/>
              </w:rPr>
              <w:t>apkalpošanu</w:t>
            </w:r>
            <w:proofErr w:type="spellEnd"/>
            <w:r w:rsidRPr="00AD7605">
              <w:rPr>
                <w:color w:val="000000"/>
                <w:sz w:val="22"/>
                <w:szCs w:val="22"/>
              </w:rPr>
              <w:t xml:space="preserve"> </w:t>
            </w:r>
            <w:proofErr w:type="spellStart"/>
            <w:r w:rsidRPr="00AD7605">
              <w:rPr>
                <w:color w:val="000000"/>
                <w:sz w:val="22"/>
                <w:szCs w:val="22"/>
              </w:rPr>
              <w:t>Latvijas</w:t>
            </w:r>
            <w:proofErr w:type="spellEnd"/>
            <w:r w:rsidRPr="00AD7605">
              <w:rPr>
                <w:color w:val="000000"/>
                <w:sz w:val="22"/>
                <w:szCs w:val="22"/>
              </w:rPr>
              <w:t xml:space="preserve"> </w:t>
            </w:r>
            <w:proofErr w:type="spellStart"/>
            <w:r w:rsidRPr="00AD7605">
              <w:rPr>
                <w:color w:val="000000"/>
                <w:sz w:val="22"/>
                <w:szCs w:val="22"/>
              </w:rPr>
              <w:t>Republikā</w:t>
            </w:r>
            <w:proofErr w:type="spellEnd"/>
            <w:r w:rsidRPr="00AD7605">
              <w:rPr>
                <w:color w:val="000000"/>
                <w:sz w:val="22"/>
                <w:szCs w:val="22"/>
              </w:rPr>
              <w:t xml:space="preserve"> </w:t>
            </w:r>
            <w:proofErr w:type="spellStart"/>
            <w:r>
              <w:rPr>
                <w:color w:val="000000"/>
                <w:sz w:val="22"/>
                <w:szCs w:val="22"/>
              </w:rPr>
              <w:t>atbilstoši</w:t>
            </w:r>
            <w:proofErr w:type="spellEnd"/>
            <w:r>
              <w:rPr>
                <w:color w:val="000000"/>
                <w:sz w:val="22"/>
                <w:szCs w:val="22"/>
              </w:rPr>
              <w:t xml:space="preserve"> </w:t>
            </w:r>
            <w:proofErr w:type="spellStart"/>
            <w:r w:rsidRPr="00AD7605">
              <w:rPr>
                <w:color w:val="000000"/>
                <w:sz w:val="22"/>
                <w:szCs w:val="22"/>
              </w:rPr>
              <w:t>ražotāja</w:t>
            </w:r>
            <w:proofErr w:type="spellEnd"/>
            <w:r w:rsidRPr="00AD7605">
              <w:rPr>
                <w:color w:val="000000"/>
                <w:sz w:val="22"/>
                <w:szCs w:val="22"/>
              </w:rPr>
              <w:t xml:space="preserve"> </w:t>
            </w:r>
            <w:proofErr w:type="spellStart"/>
            <w:r w:rsidRPr="00AD7605">
              <w:rPr>
                <w:color w:val="000000"/>
                <w:sz w:val="22"/>
                <w:szCs w:val="22"/>
              </w:rPr>
              <w:t>noteikumiem</w:t>
            </w:r>
            <w:proofErr w:type="spellEnd"/>
            <w:r w:rsidRPr="00AD7605">
              <w:rPr>
                <w:color w:val="000000"/>
                <w:sz w:val="22"/>
                <w:szCs w:val="22"/>
              </w:rPr>
              <w:t xml:space="preserve">. </w:t>
            </w:r>
          </w:p>
        </w:tc>
        <w:tc>
          <w:tcPr>
            <w:tcW w:w="5392" w:type="dxa"/>
            <w:shd w:val="clear" w:color="auto" w:fill="auto"/>
          </w:tcPr>
          <w:p w:rsidR="008B79A5" w:rsidRPr="00AD7605" w:rsidRDefault="008B79A5" w:rsidP="006772AE">
            <w:pPr>
              <w:jc w:val="both"/>
              <w:rPr>
                <w:sz w:val="22"/>
                <w:szCs w:val="22"/>
              </w:rPr>
            </w:pPr>
            <w:r w:rsidRPr="00AD7605">
              <w:rPr>
                <w:sz w:val="22"/>
                <w:szCs w:val="22"/>
              </w:rPr>
              <w:t xml:space="preserve">4.2.4. </w:t>
            </w:r>
            <w:proofErr w:type="spellStart"/>
            <w:r w:rsidRPr="00AD7605">
              <w:rPr>
                <w:sz w:val="22"/>
                <w:szCs w:val="22"/>
              </w:rPr>
              <w:t>Pretendents</w:t>
            </w:r>
            <w:proofErr w:type="spellEnd"/>
            <w:r w:rsidRPr="00AD7605">
              <w:rPr>
                <w:sz w:val="22"/>
                <w:szCs w:val="22"/>
              </w:rPr>
              <w:t xml:space="preserve"> </w:t>
            </w:r>
            <w:proofErr w:type="spellStart"/>
            <w:r w:rsidRPr="00AD7605">
              <w:rPr>
                <w:sz w:val="22"/>
                <w:szCs w:val="22"/>
              </w:rPr>
              <w:t>iesniedz</w:t>
            </w:r>
            <w:proofErr w:type="spellEnd"/>
            <w:r w:rsidRPr="00AD7605">
              <w:rPr>
                <w:sz w:val="22"/>
                <w:szCs w:val="22"/>
              </w:rPr>
              <w:t xml:space="preserve"> </w:t>
            </w:r>
            <w:proofErr w:type="spellStart"/>
            <w:r w:rsidRPr="00AD7605">
              <w:rPr>
                <w:sz w:val="22"/>
                <w:szCs w:val="22"/>
              </w:rPr>
              <w:t>piedāvātā</w:t>
            </w:r>
            <w:proofErr w:type="spellEnd"/>
            <w:r w:rsidRPr="00AD7605">
              <w:rPr>
                <w:sz w:val="22"/>
                <w:szCs w:val="22"/>
              </w:rPr>
              <w:t xml:space="preserve"> </w:t>
            </w:r>
            <w:proofErr w:type="spellStart"/>
            <w:r w:rsidRPr="00AD7605">
              <w:rPr>
                <w:sz w:val="22"/>
                <w:szCs w:val="22"/>
              </w:rPr>
              <w:t>iepirkuma</w:t>
            </w:r>
            <w:proofErr w:type="spellEnd"/>
            <w:r w:rsidRPr="00AD7605">
              <w:rPr>
                <w:sz w:val="22"/>
                <w:szCs w:val="22"/>
              </w:rPr>
              <w:t xml:space="preserve"> </w:t>
            </w:r>
            <w:proofErr w:type="spellStart"/>
            <w:r w:rsidRPr="00AD7605">
              <w:rPr>
                <w:sz w:val="22"/>
                <w:szCs w:val="22"/>
              </w:rPr>
              <w:t>priekšmeta</w:t>
            </w:r>
            <w:proofErr w:type="spellEnd"/>
            <w:r w:rsidRPr="00AD7605">
              <w:rPr>
                <w:sz w:val="22"/>
                <w:szCs w:val="22"/>
              </w:rPr>
              <w:t xml:space="preserve"> </w:t>
            </w:r>
            <w:proofErr w:type="spellStart"/>
            <w:r w:rsidRPr="00AD7605">
              <w:rPr>
                <w:b/>
                <w:sz w:val="22"/>
                <w:szCs w:val="22"/>
              </w:rPr>
              <w:t>ražotāja</w:t>
            </w:r>
            <w:proofErr w:type="spellEnd"/>
            <w:r w:rsidRPr="00AD7605">
              <w:rPr>
                <w:b/>
                <w:sz w:val="22"/>
                <w:szCs w:val="22"/>
              </w:rPr>
              <w:t xml:space="preserve"> </w:t>
            </w:r>
            <w:proofErr w:type="spellStart"/>
            <w:r w:rsidRPr="00AD7605">
              <w:rPr>
                <w:b/>
                <w:sz w:val="22"/>
                <w:szCs w:val="22"/>
              </w:rPr>
              <w:t>vai</w:t>
            </w:r>
            <w:proofErr w:type="spellEnd"/>
            <w:r w:rsidRPr="00AD7605">
              <w:rPr>
                <w:b/>
                <w:sz w:val="22"/>
                <w:szCs w:val="22"/>
              </w:rPr>
              <w:t xml:space="preserve"> </w:t>
            </w:r>
            <w:proofErr w:type="spellStart"/>
            <w:r w:rsidRPr="00AD7605">
              <w:rPr>
                <w:b/>
                <w:sz w:val="22"/>
                <w:szCs w:val="22"/>
              </w:rPr>
              <w:t>tā</w:t>
            </w:r>
            <w:proofErr w:type="spellEnd"/>
            <w:r w:rsidRPr="00AD7605">
              <w:rPr>
                <w:b/>
                <w:sz w:val="22"/>
                <w:szCs w:val="22"/>
              </w:rPr>
              <w:t xml:space="preserve"> </w:t>
            </w:r>
            <w:proofErr w:type="spellStart"/>
            <w:r w:rsidRPr="00AD7605">
              <w:rPr>
                <w:b/>
                <w:sz w:val="22"/>
                <w:szCs w:val="22"/>
              </w:rPr>
              <w:t>pilnvarotās</w:t>
            </w:r>
            <w:proofErr w:type="spellEnd"/>
            <w:r w:rsidRPr="00AD7605">
              <w:rPr>
                <w:b/>
                <w:sz w:val="22"/>
                <w:szCs w:val="22"/>
              </w:rPr>
              <w:t xml:space="preserve"> </w:t>
            </w:r>
            <w:proofErr w:type="spellStart"/>
            <w:r w:rsidRPr="00AD7605">
              <w:rPr>
                <w:b/>
                <w:sz w:val="22"/>
                <w:szCs w:val="22"/>
              </w:rPr>
              <w:t>pārstāvniecības</w:t>
            </w:r>
            <w:proofErr w:type="spellEnd"/>
            <w:r w:rsidRPr="00AD7605">
              <w:rPr>
                <w:b/>
                <w:sz w:val="22"/>
                <w:szCs w:val="22"/>
              </w:rPr>
              <w:t xml:space="preserve"> (</w:t>
            </w:r>
            <w:proofErr w:type="spellStart"/>
            <w:r w:rsidRPr="00AD7605">
              <w:rPr>
                <w:b/>
                <w:sz w:val="22"/>
                <w:szCs w:val="22"/>
              </w:rPr>
              <w:t>filiāles</w:t>
            </w:r>
            <w:proofErr w:type="spellEnd"/>
            <w:r w:rsidRPr="00AD7605">
              <w:rPr>
                <w:b/>
                <w:sz w:val="22"/>
                <w:szCs w:val="22"/>
              </w:rPr>
              <w:t xml:space="preserve">) </w:t>
            </w:r>
            <w:proofErr w:type="spellStart"/>
            <w:r w:rsidRPr="00AD7605">
              <w:rPr>
                <w:b/>
                <w:sz w:val="22"/>
                <w:szCs w:val="22"/>
              </w:rPr>
              <w:t>pilnvaras</w:t>
            </w:r>
            <w:proofErr w:type="spellEnd"/>
            <w:r w:rsidRPr="00AD7605">
              <w:rPr>
                <w:b/>
                <w:sz w:val="22"/>
                <w:szCs w:val="22"/>
              </w:rPr>
              <w:t xml:space="preserve">, </w:t>
            </w:r>
            <w:proofErr w:type="spellStart"/>
            <w:r w:rsidRPr="00AD7605">
              <w:rPr>
                <w:b/>
                <w:sz w:val="22"/>
                <w:szCs w:val="22"/>
              </w:rPr>
              <w:t>līguma</w:t>
            </w:r>
            <w:proofErr w:type="spellEnd"/>
            <w:r w:rsidRPr="00AD7605">
              <w:rPr>
                <w:b/>
                <w:sz w:val="22"/>
                <w:szCs w:val="22"/>
              </w:rPr>
              <w:t xml:space="preserve"> </w:t>
            </w:r>
            <w:proofErr w:type="spellStart"/>
            <w:r w:rsidRPr="00AD7605">
              <w:rPr>
                <w:b/>
                <w:sz w:val="22"/>
                <w:szCs w:val="22"/>
              </w:rPr>
              <w:t>vai</w:t>
            </w:r>
            <w:proofErr w:type="spellEnd"/>
            <w:r w:rsidRPr="00AD7605">
              <w:rPr>
                <w:b/>
                <w:sz w:val="22"/>
                <w:szCs w:val="22"/>
              </w:rPr>
              <w:t xml:space="preserve"> </w:t>
            </w:r>
            <w:proofErr w:type="spellStart"/>
            <w:r w:rsidRPr="00AD7605">
              <w:rPr>
                <w:b/>
                <w:sz w:val="22"/>
                <w:szCs w:val="22"/>
              </w:rPr>
              <w:t>cita</w:t>
            </w:r>
            <w:proofErr w:type="spellEnd"/>
            <w:r w:rsidRPr="00AD7605">
              <w:rPr>
                <w:b/>
                <w:sz w:val="22"/>
                <w:szCs w:val="22"/>
              </w:rPr>
              <w:t xml:space="preserve"> </w:t>
            </w:r>
            <w:proofErr w:type="spellStart"/>
            <w:r w:rsidRPr="00AD7605">
              <w:rPr>
                <w:b/>
                <w:sz w:val="22"/>
                <w:szCs w:val="22"/>
              </w:rPr>
              <w:t>dokumenta</w:t>
            </w:r>
            <w:proofErr w:type="spellEnd"/>
            <w:r w:rsidRPr="00AD7605">
              <w:rPr>
                <w:b/>
                <w:sz w:val="22"/>
                <w:szCs w:val="22"/>
              </w:rPr>
              <w:t xml:space="preserve"> </w:t>
            </w:r>
            <w:proofErr w:type="spellStart"/>
            <w:r w:rsidRPr="00AD7605">
              <w:rPr>
                <w:b/>
                <w:sz w:val="22"/>
                <w:szCs w:val="22"/>
              </w:rPr>
              <w:t>kopiju</w:t>
            </w:r>
            <w:proofErr w:type="spellEnd"/>
            <w:r w:rsidRPr="00AD7605">
              <w:rPr>
                <w:b/>
                <w:sz w:val="22"/>
                <w:szCs w:val="22"/>
              </w:rPr>
              <w:t xml:space="preserve">, </w:t>
            </w:r>
            <w:proofErr w:type="spellStart"/>
            <w:r w:rsidRPr="00AD7605">
              <w:rPr>
                <w:sz w:val="22"/>
                <w:szCs w:val="22"/>
              </w:rPr>
              <w:t>kas</w:t>
            </w:r>
            <w:proofErr w:type="spellEnd"/>
            <w:r w:rsidRPr="00AD7605">
              <w:rPr>
                <w:sz w:val="22"/>
                <w:szCs w:val="22"/>
              </w:rPr>
              <w:t xml:space="preserve"> </w:t>
            </w:r>
            <w:proofErr w:type="spellStart"/>
            <w:r w:rsidRPr="00AD7605">
              <w:rPr>
                <w:sz w:val="22"/>
                <w:szCs w:val="22"/>
              </w:rPr>
              <w:t>apliecina</w:t>
            </w:r>
            <w:proofErr w:type="spellEnd"/>
            <w:r w:rsidRPr="00AD7605">
              <w:rPr>
                <w:sz w:val="22"/>
                <w:szCs w:val="22"/>
              </w:rPr>
              <w:t xml:space="preserve">, </w:t>
            </w:r>
            <w:proofErr w:type="spellStart"/>
            <w:r w:rsidRPr="00AD7605">
              <w:rPr>
                <w:sz w:val="22"/>
                <w:szCs w:val="22"/>
              </w:rPr>
              <w:t>ka</w:t>
            </w:r>
            <w:proofErr w:type="spellEnd"/>
            <w:r w:rsidRPr="00AD7605">
              <w:rPr>
                <w:sz w:val="22"/>
                <w:szCs w:val="22"/>
              </w:rPr>
              <w:t xml:space="preserve"> </w:t>
            </w:r>
            <w:proofErr w:type="spellStart"/>
            <w:r w:rsidRPr="00AD7605">
              <w:rPr>
                <w:sz w:val="22"/>
                <w:szCs w:val="22"/>
              </w:rPr>
              <w:t>Pretendentam</w:t>
            </w:r>
            <w:proofErr w:type="spellEnd"/>
            <w:r w:rsidRPr="00AD7605">
              <w:rPr>
                <w:sz w:val="22"/>
                <w:szCs w:val="22"/>
              </w:rPr>
              <w:t xml:space="preserve"> </w:t>
            </w:r>
            <w:proofErr w:type="spellStart"/>
            <w:r w:rsidRPr="00AD7605">
              <w:rPr>
                <w:sz w:val="22"/>
                <w:szCs w:val="22"/>
              </w:rPr>
              <w:t>ir</w:t>
            </w:r>
            <w:proofErr w:type="spellEnd"/>
            <w:r w:rsidRPr="00AD7605">
              <w:rPr>
                <w:sz w:val="22"/>
                <w:szCs w:val="22"/>
              </w:rPr>
              <w:t xml:space="preserve"> </w:t>
            </w:r>
            <w:proofErr w:type="spellStart"/>
            <w:r w:rsidRPr="00AD7605">
              <w:rPr>
                <w:sz w:val="22"/>
                <w:szCs w:val="22"/>
              </w:rPr>
              <w:t>tiesības</w:t>
            </w:r>
            <w:proofErr w:type="spellEnd"/>
            <w:r w:rsidRPr="00AD7605">
              <w:rPr>
                <w:sz w:val="22"/>
                <w:szCs w:val="22"/>
              </w:rPr>
              <w:t> </w:t>
            </w:r>
            <w:proofErr w:type="spellStart"/>
            <w:r w:rsidRPr="00AD7605">
              <w:rPr>
                <w:sz w:val="22"/>
                <w:szCs w:val="22"/>
              </w:rPr>
              <w:t>uzņemties</w:t>
            </w:r>
            <w:proofErr w:type="spellEnd"/>
            <w:r w:rsidRPr="00AD7605">
              <w:rPr>
                <w:sz w:val="22"/>
                <w:szCs w:val="22"/>
              </w:rPr>
              <w:t xml:space="preserve"> </w:t>
            </w:r>
            <w:proofErr w:type="spellStart"/>
            <w:r w:rsidRPr="00AD7605">
              <w:rPr>
                <w:sz w:val="22"/>
                <w:szCs w:val="22"/>
              </w:rPr>
              <w:t>atbilstošas</w:t>
            </w:r>
            <w:proofErr w:type="spellEnd"/>
            <w:r w:rsidRPr="00AD7605">
              <w:rPr>
                <w:sz w:val="22"/>
                <w:szCs w:val="22"/>
              </w:rPr>
              <w:t xml:space="preserve"> </w:t>
            </w:r>
            <w:proofErr w:type="spellStart"/>
            <w:r w:rsidRPr="00AD7605">
              <w:rPr>
                <w:sz w:val="22"/>
                <w:szCs w:val="22"/>
              </w:rPr>
              <w:t>garantijas</w:t>
            </w:r>
            <w:proofErr w:type="spellEnd"/>
            <w:r w:rsidRPr="00AD7605">
              <w:rPr>
                <w:sz w:val="22"/>
                <w:szCs w:val="22"/>
              </w:rPr>
              <w:t xml:space="preserve"> </w:t>
            </w:r>
            <w:proofErr w:type="spellStart"/>
            <w:r w:rsidRPr="00AD7605">
              <w:rPr>
                <w:sz w:val="22"/>
                <w:szCs w:val="22"/>
              </w:rPr>
              <w:t>saistības</w:t>
            </w:r>
            <w:proofErr w:type="spellEnd"/>
            <w:r w:rsidRPr="00AD7605">
              <w:rPr>
                <w:sz w:val="22"/>
                <w:szCs w:val="22"/>
              </w:rPr>
              <w:t xml:space="preserve"> un </w:t>
            </w:r>
            <w:proofErr w:type="spellStart"/>
            <w:r w:rsidRPr="00AD7605">
              <w:rPr>
                <w:sz w:val="22"/>
                <w:szCs w:val="22"/>
              </w:rPr>
              <w:t>veikt</w:t>
            </w:r>
            <w:proofErr w:type="spellEnd"/>
            <w:r w:rsidRPr="00AD7605">
              <w:rPr>
                <w:sz w:val="22"/>
                <w:szCs w:val="22"/>
              </w:rPr>
              <w:t xml:space="preserve"> </w:t>
            </w:r>
            <w:proofErr w:type="spellStart"/>
            <w:r w:rsidRPr="00AD7605">
              <w:rPr>
                <w:sz w:val="22"/>
                <w:szCs w:val="22"/>
              </w:rPr>
              <w:t>garantijas</w:t>
            </w:r>
            <w:proofErr w:type="spellEnd"/>
            <w:r w:rsidRPr="00AD7605">
              <w:rPr>
                <w:sz w:val="22"/>
                <w:szCs w:val="22"/>
              </w:rPr>
              <w:t xml:space="preserve"> </w:t>
            </w:r>
            <w:proofErr w:type="spellStart"/>
            <w:r w:rsidRPr="00AD7605">
              <w:rPr>
                <w:sz w:val="22"/>
                <w:szCs w:val="22"/>
              </w:rPr>
              <w:t>apkalpošanu</w:t>
            </w:r>
            <w:proofErr w:type="spellEnd"/>
            <w:r w:rsidRPr="00AD7605">
              <w:rPr>
                <w:sz w:val="22"/>
                <w:szCs w:val="22"/>
              </w:rPr>
              <w:t>.</w:t>
            </w:r>
          </w:p>
        </w:tc>
      </w:tr>
    </w:tbl>
    <w:p w:rsidR="001743BB" w:rsidRPr="008B79A5"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Piedāvājuma izvēles kritērijs: </w:t>
      </w:r>
      <w:r w:rsidR="00042650">
        <w:rPr>
          <w:sz w:val="22"/>
          <w:szCs w:val="22"/>
          <w:lang w:val="lv-LV"/>
        </w:rPr>
        <w:t>saimnieciski izdevīgākais</w:t>
      </w:r>
      <w:r w:rsidRPr="001743BB">
        <w:rPr>
          <w:b/>
          <w:sz w:val="22"/>
          <w:szCs w:val="22"/>
          <w:lang w:val="lv-LV"/>
        </w:rPr>
        <w:t xml:space="preserve"> </w:t>
      </w:r>
      <w:r w:rsidRPr="001743BB">
        <w:rPr>
          <w:sz w:val="22"/>
          <w:szCs w:val="22"/>
          <w:lang w:val="lv-LV"/>
        </w:rPr>
        <w:t>piedāvājums</w:t>
      </w:r>
      <w:r w:rsidR="00042650">
        <w:rPr>
          <w:sz w:val="22"/>
          <w:szCs w:val="22"/>
          <w:lang w:val="lv-LV"/>
        </w:rPr>
        <w:t>, kuru nosaka</w:t>
      </w:r>
      <w:r w:rsidR="00BD7A25">
        <w:rPr>
          <w:sz w:val="22"/>
          <w:szCs w:val="22"/>
          <w:lang w:val="lv-LV"/>
        </w:rPr>
        <w:t>,</w:t>
      </w:r>
      <w:r w:rsidR="00042650">
        <w:rPr>
          <w:sz w:val="22"/>
          <w:szCs w:val="22"/>
          <w:lang w:val="lv-LV"/>
        </w:rPr>
        <w:t xml:space="preserve"> ņemot vērā</w:t>
      </w:r>
      <w:r w:rsidR="008B79A5">
        <w:rPr>
          <w:sz w:val="22"/>
          <w:szCs w:val="22"/>
          <w:lang w:val="lv-LV"/>
        </w:rPr>
        <w:t>:</w:t>
      </w:r>
    </w:p>
    <w:tbl>
      <w:tblPr>
        <w:tblStyle w:val="TableGrid3"/>
        <w:tblW w:w="9985" w:type="dxa"/>
        <w:jc w:val="center"/>
        <w:tblLayout w:type="fixed"/>
        <w:tblLook w:val="04A0" w:firstRow="1" w:lastRow="0" w:firstColumn="1" w:lastColumn="0" w:noHBand="0" w:noVBand="1"/>
      </w:tblPr>
      <w:tblGrid>
        <w:gridCol w:w="625"/>
        <w:gridCol w:w="8010"/>
        <w:gridCol w:w="1350"/>
      </w:tblGrid>
      <w:tr w:rsidR="008B79A5" w:rsidRPr="008B79A5" w:rsidTr="006772AE">
        <w:trPr>
          <w:tblHeader/>
          <w:jc w:val="center"/>
        </w:trPr>
        <w:tc>
          <w:tcPr>
            <w:tcW w:w="625" w:type="dxa"/>
            <w:tcBorders>
              <w:top w:val="single" w:sz="12" w:space="0" w:color="auto"/>
            </w:tcBorders>
          </w:tcPr>
          <w:p w:rsidR="008B79A5" w:rsidRPr="008B79A5" w:rsidRDefault="008B79A5" w:rsidP="008B79A5">
            <w:pPr>
              <w:suppressAutoHyphens/>
              <w:rPr>
                <w:b/>
                <w:color w:val="000000"/>
                <w:sz w:val="22"/>
                <w:szCs w:val="20"/>
                <w:lang w:val="lv-LV" w:eastAsia="ar-SA"/>
              </w:rPr>
            </w:pPr>
            <w:r w:rsidRPr="008B79A5">
              <w:rPr>
                <w:b/>
                <w:color w:val="000000"/>
                <w:sz w:val="22"/>
                <w:szCs w:val="20"/>
                <w:lang w:val="lv-LV" w:eastAsia="ar-SA"/>
              </w:rPr>
              <w:t>Nr.</w:t>
            </w:r>
          </w:p>
        </w:tc>
        <w:tc>
          <w:tcPr>
            <w:tcW w:w="8010" w:type="dxa"/>
            <w:tcBorders>
              <w:top w:val="single" w:sz="12" w:space="0" w:color="auto"/>
            </w:tcBorders>
          </w:tcPr>
          <w:p w:rsidR="008B79A5" w:rsidRPr="008B79A5" w:rsidRDefault="008B79A5" w:rsidP="008B79A5">
            <w:pPr>
              <w:suppressAutoHyphens/>
              <w:rPr>
                <w:b/>
                <w:color w:val="000000"/>
                <w:sz w:val="22"/>
                <w:szCs w:val="20"/>
                <w:lang w:val="lv-LV" w:eastAsia="ar-SA"/>
              </w:rPr>
            </w:pPr>
            <w:r w:rsidRPr="008B79A5">
              <w:rPr>
                <w:b/>
                <w:color w:val="000000"/>
                <w:sz w:val="22"/>
                <w:szCs w:val="20"/>
                <w:lang w:val="lv-LV" w:eastAsia="ar-SA"/>
              </w:rPr>
              <w:t>Spektrometra (komplekta) vērtējums</w:t>
            </w:r>
          </w:p>
        </w:tc>
        <w:tc>
          <w:tcPr>
            <w:tcW w:w="1350" w:type="dxa"/>
            <w:tcBorders>
              <w:top w:val="single" w:sz="12" w:space="0" w:color="auto"/>
            </w:tcBorders>
          </w:tcPr>
          <w:p w:rsidR="008B79A5" w:rsidRPr="008B79A5" w:rsidRDefault="008B79A5" w:rsidP="008B79A5">
            <w:pPr>
              <w:suppressAutoHyphens/>
              <w:jc w:val="center"/>
              <w:rPr>
                <w:b/>
                <w:color w:val="000000"/>
                <w:sz w:val="22"/>
                <w:szCs w:val="20"/>
                <w:lang w:val="lv-LV" w:eastAsia="ar-SA"/>
              </w:rPr>
            </w:pPr>
            <w:r w:rsidRPr="008B79A5">
              <w:rPr>
                <w:b/>
                <w:color w:val="000000"/>
                <w:sz w:val="22"/>
                <w:szCs w:val="20"/>
                <w:lang w:val="lv-LV" w:eastAsia="ar-SA"/>
              </w:rPr>
              <w:t>Maksimāli piešķirami punkti</w:t>
            </w:r>
          </w:p>
        </w:tc>
      </w:tr>
      <w:tr w:rsidR="008B79A5" w:rsidRPr="008B79A5" w:rsidTr="006772AE">
        <w:trPr>
          <w:jc w:val="center"/>
        </w:trPr>
        <w:tc>
          <w:tcPr>
            <w:tcW w:w="625" w:type="dxa"/>
            <w:tcBorders>
              <w:top w:val="single" w:sz="12" w:space="0" w:color="auto"/>
            </w:tcBorders>
          </w:tcPr>
          <w:p w:rsidR="008B79A5" w:rsidRPr="008B79A5" w:rsidRDefault="008B79A5" w:rsidP="008B79A5">
            <w:pPr>
              <w:suppressAutoHyphens/>
              <w:rPr>
                <w:b/>
                <w:color w:val="000000"/>
                <w:sz w:val="22"/>
                <w:szCs w:val="20"/>
                <w:lang w:val="lv-LV" w:eastAsia="ar-SA"/>
              </w:rPr>
            </w:pPr>
            <w:r w:rsidRPr="008B79A5">
              <w:rPr>
                <w:b/>
                <w:color w:val="000000"/>
                <w:sz w:val="22"/>
                <w:szCs w:val="20"/>
                <w:lang w:val="lv-LV" w:eastAsia="ar-SA"/>
              </w:rPr>
              <w:t>1</w:t>
            </w:r>
          </w:p>
        </w:tc>
        <w:tc>
          <w:tcPr>
            <w:tcW w:w="8010" w:type="dxa"/>
            <w:tcBorders>
              <w:top w:val="single" w:sz="12" w:space="0" w:color="auto"/>
            </w:tcBorders>
          </w:tcPr>
          <w:p w:rsidR="008B79A5" w:rsidRPr="008B79A5" w:rsidRDefault="008B79A5" w:rsidP="008B79A5">
            <w:pPr>
              <w:suppressAutoHyphens/>
              <w:rPr>
                <w:b/>
                <w:i/>
                <w:color w:val="000000"/>
                <w:sz w:val="22"/>
                <w:szCs w:val="20"/>
                <w:lang w:val="lv-LV" w:eastAsia="ar-SA"/>
              </w:rPr>
            </w:pPr>
            <w:r w:rsidRPr="008B79A5">
              <w:rPr>
                <w:b/>
                <w:i/>
                <w:color w:val="000000"/>
                <w:sz w:val="22"/>
                <w:szCs w:val="20"/>
                <w:lang w:val="lv-LV" w:eastAsia="ar-SA"/>
              </w:rPr>
              <w:t>Spektrometra (komplekta) cenas vērtējums (maks. 38 punkti)</w:t>
            </w:r>
          </w:p>
        </w:tc>
        <w:tc>
          <w:tcPr>
            <w:tcW w:w="1350" w:type="dxa"/>
            <w:tcBorders>
              <w:top w:val="single" w:sz="12" w:space="0" w:color="auto"/>
            </w:tcBorders>
          </w:tcPr>
          <w:p w:rsidR="008B79A5" w:rsidRPr="008B79A5" w:rsidRDefault="008B79A5" w:rsidP="008B79A5">
            <w:pPr>
              <w:suppressAutoHyphens/>
              <w:jc w:val="center"/>
              <w:rPr>
                <w:b/>
                <w:color w:val="000000"/>
                <w:sz w:val="22"/>
                <w:szCs w:val="20"/>
                <w:lang w:val="lv-LV" w:eastAsia="ar-SA"/>
              </w:rPr>
            </w:pPr>
          </w:p>
        </w:tc>
      </w:tr>
      <w:tr w:rsidR="008B79A5" w:rsidRPr="008B79A5" w:rsidTr="008B79A5">
        <w:trPr>
          <w:jc w:val="center"/>
        </w:trPr>
        <w:tc>
          <w:tcPr>
            <w:tcW w:w="625" w:type="dxa"/>
            <w:tcBorders>
              <w:top w:val="single" w:sz="12" w:space="0" w:color="auto"/>
            </w:tcBorders>
            <w:shd w:val="clear" w:color="auto" w:fill="F2F2F2"/>
          </w:tcPr>
          <w:p w:rsidR="008B79A5" w:rsidRPr="008B79A5" w:rsidRDefault="008B79A5" w:rsidP="008B79A5">
            <w:pPr>
              <w:suppressAutoHyphens/>
              <w:rPr>
                <w:color w:val="000000"/>
                <w:sz w:val="22"/>
                <w:szCs w:val="20"/>
                <w:lang w:val="lv-LV" w:eastAsia="ar-SA"/>
              </w:rPr>
            </w:pPr>
            <w:r w:rsidRPr="008B79A5">
              <w:rPr>
                <w:color w:val="000000"/>
                <w:sz w:val="22"/>
                <w:szCs w:val="20"/>
                <w:lang w:val="lv-LV" w:eastAsia="ar-SA"/>
              </w:rPr>
              <w:t>1.1</w:t>
            </w:r>
          </w:p>
        </w:tc>
        <w:tc>
          <w:tcPr>
            <w:tcW w:w="8010" w:type="dxa"/>
            <w:tcBorders>
              <w:top w:val="single" w:sz="12" w:space="0" w:color="auto"/>
            </w:tcBorders>
            <w:shd w:val="clear" w:color="auto" w:fill="F2F2F2"/>
          </w:tcPr>
          <w:p w:rsidR="008B79A5" w:rsidRPr="008B79A5" w:rsidRDefault="008B79A5" w:rsidP="008B79A5">
            <w:pPr>
              <w:suppressAutoHyphens/>
              <w:rPr>
                <w:color w:val="000000"/>
                <w:sz w:val="22"/>
                <w:szCs w:val="20"/>
                <w:lang w:val="lv-LV" w:eastAsia="ar-SA"/>
              </w:rPr>
            </w:pPr>
            <m:oMathPara>
              <m:oMath>
                <m:r>
                  <m:rPr>
                    <m:sty m:val="p"/>
                  </m:rPr>
                  <w:rPr>
                    <w:rFonts w:ascii="Cambria Math" w:hAnsi="Cambria Math"/>
                    <w:color w:val="000000"/>
                    <w:sz w:val="22"/>
                    <w:szCs w:val="20"/>
                    <w:lang w:val="lv-LV" w:eastAsia="ar-SA"/>
                  </w:rPr>
                  <m:t>Piešķirti punkti=</m:t>
                </m:r>
                <m:f>
                  <m:fPr>
                    <m:ctrlPr>
                      <w:rPr>
                        <w:rFonts w:ascii="Cambria Math" w:hAnsi="Cambria Math"/>
                        <w:color w:val="000000"/>
                        <w:sz w:val="22"/>
                        <w:szCs w:val="20"/>
                        <w:lang w:val="lv-LV" w:eastAsia="ar-SA"/>
                      </w:rPr>
                    </m:ctrlPr>
                  </m:fPr>
                  <m:num>
                    <m:r>
                      <m:rPr>
                        <m:sty m:val="p"/>
                      </m:rPr>
                      <w:rPr>
                        <w:rFonts w:ascii="Cambria Math" w:hAnsi="Cambria Math"/>
                        <w:color w:val="000000"/>
                        <w:sz w:val="22"/>
                        <w:szCs w:val="20"/>
                        <w:lang w:val="lv-LV" w:eastAsia="ar-SA"/>
                      </w:rPr>
                      <m:t>Zemāka piedāvātā cena</m:t>
                    </m:r>
                  </m:num>
                  <m:den>
                    <m:r>
                      <m:rPr>
                        <m:sty m:val="p"/>
                      </m:rPr>
                      <w:rPr>
                        <w:rFonts w:ascii="Cambria Math" w:hAnsi="Cambria Math"/>
                        <w:color w:val="000000"/>
                        <w:sz w:val="22"/>
                        <w:szCs w:val="20"/>
                        <w:lang w:val="lv-LV" w:eastAsia="ar-SA"/>
                      </w:rPr>
                      <m:t>Pretendenta piedāvājuma cena</m:t>
                    </m:r>
                  </m:den>
                </m:f>
                <m:r>
                  <m:rPr>
                    <m:sty m:val="p"/>
                  </m:rPr>
                  <w:rPr>
                    <w:rFonts w:ascii="Cambria Math" w:hAnsi="Cambria Math"/>
                    <w:color w:val="000000"/>
                    <w:sz w:val="22"/>
                    <w:szCs w:val="20"/>
                    <w:lang w:val="lv-LV" w:eastAsia="ar-SA"/>
                  </w:rPr>
                  <m:t>×38</m:t>
                </m:r>
              </m:oMath>
            </m:oMathPara>
          </w:p>
        </w:tc>
        <w:tc>
          <w:tcPr>
            <w:tcW w:w="1350" w:type="dxa"/>
            <w:tcBorders>
              <w:top w:val="single" w:sz="12" w:space="0" w:color="auto"/>
            </w:tcBorders>
            <w:shd w:val="clear" w:color="auto" w:fill="F2F2F2"/>
          </w:tcPr>
          <w:p w:rsidR="008B79A5" w:rsidRPr="008B79A5" w:rsidRDefault="008B79A5" w:rsidP="008B79A5">
            <w:pPr>
              <w:suppressAutoHyphens/>
              <w:jc w:val="center"/>
              <w:rPr>
                <w:color w:val="000000"/>
                <w:sz w:val="22"/>
                <w:szCs w:val="20"/>
                <w:lang w:val="lv-LV" w:eastAsia="ar-SA"/>
              </w:rPr>
            </w:pPr>
            <w:r w:rsidRPr="008B79A5">
              <w:rPr>
                <w:color w:val="000000"/>
                <w:sz w:val="22"/>
                <w:szCs w:val="20"/>
                <w:lang w:val="lv-LV" w:eastAsia="ar-SA"/>
              </w:rPr>
              <w:t>38</w:t>
            </w:r>
          </w:p>
        </w:tc>
      </w:tr>
      <w:tr w:rsidR="008B79A5" w:rsidRPr="008B79A5" w:rsidTr="006772AE">
        <w:trPr>
          <w:jc w:val="center"/>
        </w:trPr>
        <w:tc>
          <w:tcPr>
            <w:tcW w:w="625" w:type="dxa"/>
            <w:tcBorders>
              <w:top w:val="single" w:sz="12" w:space="0" w:color="auto"/>
            </w:tcBorders>
          </w:tcPr>
          <w:p w:rsidR="008B79A5" w:rsidRPr="008B79A5" w:rsidRDefault="008B79A5" w:rsidP="008B79A5">
            <w:pPr>
              <w:suppressAutoHyphens/>
              <w:rPr>
                <w:b/>
                <w:color w:val="000000"/>
                <w:sz w:val="22"/>
                <w:szCs w:val="20"/>
                <w:lang w:val="lv-LV" w:eastAsia="ar-SA"/>
              </w:rPr>
            </w:pPr>
            <w:r w:rsidRPr="008B79A5">
              <w:rPr>
                <w:b/>
                <w:color w:val="000000"/>
                <w:sz w:val="22"/>
                <w:szCs w:val="20"/>
                <w:lang w:val="lv-LV" w:eastAsia="ar-SA"/>
              </w:rPr>
              <w:t>2</w:t>
            </w:r>
          </w:p>
        </w:tc>
        <w:tc>
          <w:tcPr>
            <w:tcW w:w="8010" w:type="dxa"/>
            <w:tcBorders>
              <w:top w:val="single" w:sz="12" w:space="0" w:color="auto"/>
            </w:tcBorders>
          </w:tcPr>
          <w:p w:rsidR="008B79A5" w:rsidRPr="008B79A5" w:rsidRDefault="008B79A5" w:rsidP="008B79A5">
            <w:pPr>
              <w:suppressAutoHyphens/>
              <w:jc w:val="both"/>
              <w:rPr>
                <w:b/>
                <w:i/>
                <w:sz w:val="22"/>
                <w:szCs w:val="20"/>
                <w:lang w:val="lv-LV" w:eastAsia="ar-SA"/>
              </w:rPr>
            </w:pPr>
            <w:r w:rsidRPr="008B79A5">
              <w:rPr>
                <w:b/>
                <w:i/>
                <w:color w:val="000000"/>
                <w:sz w:val="22"/>
                <w:szCs w:val="20"/>
                <w:lang w:val="lv-LV" w:eastAsia="ar-SA"/>
              </w:rPr>
              <w:t xml:space="preserve">Rentgenstarojuma </w:t>
            </w:r>
            <w:proofErr w:type="spellStart"/>
            <w:r w:rsidRPr="008B79A5">
              <w:rPr>
                <w:b/>
                <w:i/>
                <w:color w:val="000000"/>
                <w:sz w:val="22"/>
                <w:szCs w:val="20"/>
                <w:lang w:val="lv-LV" w:eastAsia="ar-SA"/>
              </w:rPr>
              <w:t>fotoelektronu</w:t>
            </w:r>
            <w:proofErr w:type="spellEnd"/>
            <w:r w:rsidRPr="008B79A5">
              <w:rPr>
                <w:b/>
                <w:i/>
                <w:color w:val="000000"/>
                <w:sz w:val="22"/>
                <w:szCs w:val="20"/>
                <w:lang w:val="lv-LV" w:eastAsia="ar-SA"/>
              </w:rPr>
              <w:t xml:space="preserve"> spektrometrijas moduļa (XPS modulis)</w:t>
            </w:r>
            <w:r w:rsidRPr="008B79A5">
              <w:rPr>
                <w:b/>
                <w:i/>
                <w:sz w:val="22"/>
                <w:szCs w:val="20"/>
                <w:lang w:val="lv-LV" w:eastAsia="ar-SA"/>
              </w:rPr>
              <w:t xml:space="preserve"> t</w:t>
            </w:r>
            <w:r w:rsidRPr="008B79A5">
              <w:rPr>
                <w:b/>
                <w:i/>
                <w:color w:val="000000"/>
                <w:sz w:val="22"/>
                <w:szCs w:val="20"/>
                <w:lang w:val="lv-LV" w:eastAsia="ar-SA"/>
              </w:rPr>
              <w:t>ehniskais vērtējums (maks.30 punkti)</w:t>
            </w:r>
          </w:p>
          <w:p w:rsidR="008B79A5" w:rsidRPr="008B79A5" w:rsidRDefault="008B79A5" w:rsidP="008B79A5">
            <w:pPr>
              <w:suppressAutoHyphens/>
              <w:rPr>
                <w:i/>
                <w:color w:val="000000"/>
                <w:sz w:val="22"/>
                <w:szCs w:val="20"/>
                <w:lang w:val="lv-LV" w:eastAsia="ar-SA"/>
              </w:rPr>
            </w:pPr>
            <w:r w:rsidRPr="008B79A5">
              <w:rPr>
                <w:i/>
                <w:color w:val="000000"/>
                <w:sz w:val="22"/>
                <w:szCs w:val="20"/>
                <w:lang w:val="lv-LV" w:eastAsia="ar-SA"/>
              </w:rPr>
              <w:t>Punkti tiek piešķirti par attiecīgām prasībām:</w:t>
            </w:r>
          </w:p>
        </w:tc>
        <w:tc>
          <w:tcPr>
            <w:tcW w:w="1350" w:type="dxa"/>
            <w:tcBorders>
              <w:top w:val="single" w:sz="12" w:space="0" w:color="auto"/>
            </w:tcBorders>
          </w:tcPr>
          <w:p w:rsidR="008B79A5" w:rsidRPr="008B79A5" w:rsidRDefault="008B79A5" w:rsidP="008B79A5">
            <w:pPr>
              <w:suppressAutoHyphens/>
              <w:jc w:val="center"/>
              <w:rPr>
                <w:color w:val="000000"/>
                <w:sz w:val="22"/>
                <w:szCs w:val="20"/>
                <w:lang w:val="lv-LV" w:eastAsia="ar-SA"/>
              </w:rPr>
            </w:pPr>
          </w:p>
        </w:tc>
      </w:tr>
      <w:tr w:rsidR="008B79A5" w:rsidRPr="008B79A5" w:rsidTr="008B79A5">
        <w:trPr>
          <w:jc w:val="center"/>
        </w:trPr>
        <w:tc>
          <w:tcPr>
            <w:tcW w:w="625" w:type="dxa"/>
            <w:tcBorders>
              <w:top w:val="single" w:sz="12" w:space="0" w:color="auto"/>
            </w:tcBorders>
            <w:shd w:val="clear" w:color="auto" w:fill="F2F2F2"/>
          </w:tcPr>
          <w:p w:rsidR="008B79A5" w:rsidRPr="008B79A5" w:rsidRDefault="008B79A5" w:rsidP="008B79A5">
            <w:pPr>
              <w:suppressAutoHyphens/>
              <w:rPr>
                <w:color w:val="000000"/>
                <w:sz w:val="22"/>
                <w:szCs w:val="20"/>
                <w:lang w:val="lv-LV" w:eastAsia="ar-SA"/>
              </w:rPr>
            </w:pPr>
            <w:r w:rsidRPr="008B79A5">
              <w:rPr>
                <w:color w:val="000000"/>
                <w:sz w:val="22"/>
                <w:szCs w:val="20"/>
                <w:lang w:val="lv-LV" w:eastAsia="ar-SA"/>
              </w:rPr>
              <w:t>2.1</w:t>
            </w:r>
          </w:p>
        </w:tc>
        <w:tc>
          <w:tcPr>
            <w:tcW w:w="8010" w:type="dxa"/>
            <w:tcBorders>
              <w:top w:val="single" w:sz="12" w:space="0" w:color="auto"/>
            </w:tcBorders>
            <w:shd w:val="clear" w:color="auto" w:fill="F2F2F2"/>
          </w:tcPr>
          <w:p w:rsidR="008B79A5" w:rsidRPr="008B79A5" w:rsidRDefault="008B79A5" w:rsidP="008B79A5">
            <w:pPr>
              <w:suppressAutoHyphens/>
              <w:jc w:val="both"/>
              <w:rPr>
                <w:color w:val="000000"/>
                <w:sz w:val="22"/>
                <w:szCs w:val="20"/>
                <w:lang w:val="lv-LV" w:eastAsia="ar-SA"/>
              </w:rPr>
            </w:pPr>
            <w:r w:rsidRPr="008B79A5">
              <w:rPr>
                <w:color w:val="000000"/>
                <w:sz w:val="22"/>
                <w:szCs w:val="20"/>
                <w:lang w:val="lv-LV" w:eastAsia="ar-SA"/>
              </w:rPr>
              <w:t xml:space="preserve">Ja tiek piedāvāta sistēma ar XPS </w:t>
            </w:r>
            <w:proofErr w:type="spellStart"/>
            <w:r w:rsidRPr="008B79A5">
              <w:rPr>
                <w:color w:val="000000"/>
                <w:sz w:val="22"/>
                <w:szCs w:val="20"/>
                <w:lang w:val="lv-LV" w:eastAsia="ar-SA"/>
              </w:rPr>
              <w:t>spektroskopijas</w:t>
            </w:r>
            <w:proofErr w:type="spellEnd"/>
            <w:r w:rsidRPr="008B79A5">
              <w:rPr>
                <w:color w:val="000000"/>
                <w:sz w:val="22"/>
                <w:szCs w:val="20"/>
                <w:lang w:val="lv-LV" w:eastAsia="ar-SA"/>
              </w:rPr>
              <w:t xml:space="preserve"> enerģijas izšķirtspēju (&lt; 0.5 </w:t>
            </w:r>
            <w:proofErr w:type="spellStart"/>
            <w:r w:rsidRPr="008B79A5">
              <w:rPr>
                <w:color w:val="000000"/>
                <w:sz w:val="22"/>
                <w:szCs w:val="20"/>
                <w:lang w:val="lv-LV" w:eastAsia="ar-SA"/>
              </w:rPr>
              <w:t>eV</w:t>
            </w:r>
            <w:proofErr w:type="spellEnd"/>
            <w:r w:rsidRPr="008B79A5">
              <w:rPr>
                <w:color w:val="000000"/>
                <w:sz w:val="22"/>
                <w:szCs w:val="20"/>
                <w:lang w:val="lv-LV" w:eastAsia="ar-SA"/>
              </w:rPr>
              <w:t>) (specifikācijas 1.1.3. punkts), tad tiek piešķirti punkti pēc formulas (maks.5 punkti):</w:t>
            </w:r>
          </w:p>
          <w:p w:rsidR="008B79A5" w:rsidRPr="008B79A5" w:rsidRDefault="008B79A5" w:rsidP="008B79A5">
            <w:pPr>
              <w:suppressAutoHyphens/>
              <w:jc w:val="both"/>
              <w:rPr>
                <w:color w:val="000000"/>
                <w:sz w:val="22"/>
                <w:szCs w:val="20"/>
                <w:lang w:val="lv-LV" w:eastAsia="ar-SA"/>
              </w:rPr>
            </w:pPr>
            <m:oMathPara>
              <m:oMath>
                <m:r>
                  <m:rPr>
                    <m:sty m:val="p"/>
                  </m:rPr>
                  <w:rPr>
                    <w:rFonts w:ascii="Cambria Math" w:hAnsi="Cambria Math"/>
                    <w:color w:val="000000"/>
                    <w:sz w:val="22"/>
                    <w:szCs w:val="20"/>
                    <w:lang w:val="lv-LV" w:eastAsia="ar-SA"/>
                  </w:rPr>
                  <m:t>Piešķirti punkti=</m:t>
                </m:r>
                <m:f>
                  <m:fPr>
                    <m:ctrlPr>
                      <w:rPr>
                        <w:rFonts w:ascii="Cambria Math" w:hAnsi="Cambria Math"/>
                        <w:color w:val="000000"/>
                        <w:sz w:val="22"/>
                        <w:szCs w:val="20"/>
                        <w:lang w:val="lv-LV" w:eastAsia="ar-SA"/>
                      </w:rPr>
                    </m:ctrlPr>
                  </m:fPr>
                  <m:num>
                    <m:r>
                      <m:rPr>
                        <m:sty m:val="p"/>
                      </m:rPr>
                      <w:rPr>
                        <w:rFonts w:ascii="Cambria Math" w:hAnsi="Cambria Math"/>
                        <w:color w:val="000000"/>
                        <w:sz w:val="22"/>
                        <w:szCs w:val="20"/>
                        <w:lang w:val="lv-LV" w:eastAsia="ar-SA"/>
                      </w:rPr>
                      <m:t>Labākā piedāvātā enerģijas izšķirtspēja</m:t>
                    </m:r>
                  </m:num>
                  <m:den>
                    <m:r>
                      <m:rPr>
                        <m:sty m:val="p"/>
                      </m:rPr>
                      <w:rPr>
                        <w:rFonts w:ascii="Cambria Math" w:hAnsi="Cambria Math"/>
                        <w:color w:val="000000"/>
                        <w:sz w:val="22"/>
                        <w:szCs w:val="20"/>
                        <w:lang w:val="lv-LV" w:eastAsia="ar-SA"/>
                      </w:rPr>
                      <m:t>Pretendenta piedāvātās sistēmas enerģijas izšķirtspēja</m:t>
                    </m:r>
                  </m:den>
                </m:f>
                <m:r>
                  <m:rPr>
                    <m:sty m:val="p"/>
                  </m:rPr>
                  <w:rPr>
                    <w:rFonts w:ascii="Cambria Math" w:hAnsi="Cambria Math"/>
                    <w:color w:val="000000"/>
                    <w:sz w:val="22"/>
                    <w:szCs w:val="20"/>
                    <w:lang w:val="lv-LV" w:eastAsia="ar-SA"/>
                  </w:rPr>
                  <m:t>×5</m:t>
                </m:r>
              </m:oMath>
            </m:oMathPara>
          </w:p>
        </w:tc>
        <w:tc>
          <w:tcPr>
            <w:tcW w:w="1350" w:type="dxa"/>
            <w:tcBorders>
              <w:top w:val="single" w:sz="12" w:space="0" w:color="auto"/>
            </w:tcBorders>
            <w:shd w:val="clear" w:color="auto" w:fill="F2F2F2"/>
            <w:vAlign w:val="center"/>
          </w:tcPr>
          <w:p w:rsidR="008B79A5" w:rsidRPr="008B79A5" w:rsidRDefault="008B79A5" w:rsidP="008B79A5">
            <w:pPr>
              <w:suppressAutoHyphens/>
              <w:jc w:val="center"/>
              <w:rPr>
                <w:color w:val="000000"/>
                <w:sz w:val="22"/>
                <w:szCs w:val="20"/>
                <w:lang w:val="lv-LV" w:eastAsia="ar-SA"/>
              </w:rPr>
            </w:pPr>
            <w:r w:rsidRPr="008B79A5">
              <w:rPr>
                <w:color w:val="000000"/>
                <w:sz w:val="22"/>
                <w:szCs w:val="20"/>
                <w:lang w:val="lv-LV" w:eastAsia="ar-SA"/>
              </w:rPr>
              <w:t>5</w:t>
            </w:r>
          </w:p>
        </w:tc>
      </w:tr>
      <w:tr w:rsidR="008B79A5" w:rsidRPr="008B79A5" w:rsidTr="006772AE">
        <w:trPr>
          <w:jc w:val="center"/>
        </w:trPr>
        <w:tc>
          <w:tcPr>
            <w:tcW w:w="625" w:type="dxa"/>
            <w:tcBorders>
              <w:top w:val="single" w:sz="12" w:space="0" w:color="auto"/>
            </w:tcBorders>
          </w:tcPr>
          <w:p w:rsidR="008B79A5" w:rsidRPr="008B79A5" w:rsidRDefault="008B79A5" w:rsidP="008B79A5">
            <w:pPr>
              <w:suppressAutoHyphens/>
              <w:rPr>
                <w:color w:val="000000"/>
                <w:sz w:val="20"/>
                <w:szCs w:val="20"/>
                <w:lang w:val="lv-LV" w:eastAsia="ar-SA"/>
              </w:rPr>
            </w:pPr>
            <w:r w:rsidRPr="008B79A5">
              <w:rPr>
                <w:color w:val="000000"/>
                <w:sz w:val="20"/>
                <w:szCs w:val="20"/>
                <w:lang w:val="lv-LV" w:eastAsia="ar-SA"/>
              </w:rPr>
              <w:t>2.2</w:t>
            </w:r>
          </w:p>
        </w:tc>
        <w:tc>
          <w:tcPr>
            <w:tcW w:w="8010" w:type="dxa"/>
            <w:tcBorders>
              <w:top w:val="single" w:sz="12" w:space="0" w:color="auto"/>
            </w:tcBorders>
          </w:tcPr>
          <w:p w:rsidR="008B79A5" w:rsidRPr="008B79A5" w:rsidRDefault="008B79A5" w:rsidP="008B79A5">
            <w:pPr>
              <w:suppressAutoHyphens/>
              <w:jc w:val="both"/>
              <w:rPr>
                <w:color w:val="000000"/>
                <w:sz w:val="22"/>
                <w:szCs w:val="22"/>
                <w:lang w:val="lv-LV" w:eastAsia="ar-SA"/>
              </w:rPr>
            </w:pPr>
            <w:r w:rsidRPr="008B79A5">
              <w:rPr>
                <w:color w:val="000000"/>
                <w:sz w:val="22"/>
                <w:szCs w:val="22"/>
                <w:lang w:val="lv-LV" w:eastAsia="ar-SA"/>
              </w:rPr>
              <w:t xml:space="preserve">Ja tiek piedāvāta sistēma ar </w:t>
            </w:r>
            <w:proofErr w:type="spellStart"/>
            <w:r w:rsidRPr="008B79A5">
              <w:rPr>
                <w:color w:val="000000"/>
                <w:sz w:val="22"/>
                <w:szCs w:val="22"/>
                <w:lang w:val="lv-LV" w:eastAsia="ar-SA"/>
              </w:rPr>
              <w:t>aterālo</w:t>
            </w:r>
            <w:proofErr w:type="spellEnd"/>
            <w:r w:rsidRPr="008B79A5">
              <w:rPr>
                <w:color w:val="000000"/>
                <w:sz w:val="22"/>
                <w:szCs w:val="22"/>
                <w:lang w:val="lv-LV" w:eastAsia="ar-SA"/>
              </w:rPr>
              <w:t xml:space="preserve"> izšķirtspēju </w:t>
            </w:r>
            <w:r w:rsidRPr="008B79A5">
              <w:rPr>
                <w:sz w:val="22"/>
                <w:szCs w:val="22"/>
                <w:lang w:val="lv-LV" w:eastAsia="ar-SA"/>
              </w:rPr>
              <w:t>≤ 10 µm</w:t>
            </w:r>
            <w:r w:rsidRPr="008B79A5">
              <w:rPr>
                <w:color w:val="000000"/>
                <w:sz w:val="22"/>
                <w:szCs w:val="22"/>
                <w:lang w:val="lv-LV" w:eastAsia="ar-SA"/>
              </w:rPr>
              <w:t xml:space="preserve"> (specifikācijas 1.1.4. punkts), tad tiek piešķirti punkti pēc formulas (maks.6 punkti):</w:t>
            </w:r>
          </w:p>
          <w:p w:rsidR="008B79A5" w:rsidRPr="008B79A5" w:rsidRDefault="008B79A5" w:rsidP="008B79A5">
            <w:pPr>
              <w:suppressAutoHyphens/>
              <w:rPr>
                <w:color w:val="000000"/>
                <w:sz w:val="22"/>
                <w:szCs w:val="22"/>
                <w:lang w:val="lv-LV" w:eastAsia="ar-SA"/>
              </w:rPr>
            </w:pPr>
            <m:oMathPara>
              <m:oMath>
                <m:r>
                  <m:rPr>
                    <m:sty m:val="p"/>
                  </m:rPr>
                  <w:rPr>
                    <w:rFonts w:ascii="Cambria Math" w:hAnsi="Cambria Math"/>
                    <w:color w:val="000000"/>
                    <w:sz w:val="22"/>
                    <w:szCs w:val="22"/>
                    <w:lang w:val="lv-LV" w:eastAsia="ar-SA"/>
                  </w:rPr>
                  <m:t>Piešķirti punkti=</m:t>
                </m:r>
                <m:f>
                  <m:fPr>
                    <m:ctrlPr>
                      <w:rPr>
                        <w:rFonts w:ascii="Cambria Math" w:hAnsi="Cambria Math"/>
                        <w:color w:val="000000"/>
                        <w:sz w:val="22"/>
                        <w:szCs w:val="22"/>
                        <w:lang w:val="lv-LV" w:eastAsia="ar-SA"/>
                      </w:rPr>
                    </m:ctrlPr>
                  </m:fPr>
                  <m:num>
                    <m:r>
                      <m:rPr>
                        <m:sty m:val="p"/>
                      </m:rPr>
                      <w:rPr>
                        <w:rFonts w:ascii="Cambria Math" w:hAnsi="Cambria Math"/>
                        <w:color w:val="000000"/>
                        <w:sz w:val="22"/>
                        <w:szCs w:val="22"/>
                        <w:lang w:val="lv-LV" w:eastAsia="ar-SA"/>
                      </w:rPr>
                      <m:t>Labākā piedāvātā laterāla izšķirtspēja</m:t>
                    </m:r>
                  </m:num>
                  <m:den>
                    <m:r>
                      <m:rPr>
                        <m:sty m:val="p"/>
                      </m:rPr>
                      <w:rPr>
                        <w:rFonts w:ascii="Cambria Math" w:hAnsi="Cambria Math"/>
                        <w:color w:val="000000"/>
                        <w:sz w:val="22"/>
                        <w:szCs w:val="22"/>
                        <w:lang w:val="lv-LV" w:eastAsia="ar-SA"/>
                      </w:rPr>
                      <m:t>Pretendenta piedāvātās sistēmas laterālā izšķirtspēja</m:t>
                    </m:r>
                  </m:den>
                </m:f>
                <m:r>
                  <m:rPr>
                    <m:sty m:val="p"/>
                  </m:rPr>
                  <w:rPr>
                    <w:rFonts w:ascii="Cambria Math" w:hAnsi="Cambria Math"/>
                    <w:color w:val="000000"/>
                    <w:sz w:val="22"/>
                    <w:szCs w:val="22"/>
                    <w:lang w:val="lv-LV" w:eastAsia="ar-SA"/>
                  </w:rPr>
                  <m:t>×6</m:t>
                </m:r>
              </m:oMath>
            </m:oMathPara>
          </w:p>
        </w:tc>
        <w:tc>
          <w:tcPr>
            <w:tcW w:w="1350" w:type="dxa"/>
            <w:tcBorders>
              <w:top w:val="single" w:sz="12" w:space="0" w:color="auto"/>
            </w:tcBorders>
            <w:vAlign w:val="center"/>
          </w:tcPr>
          <w:p w:rsidR="008B79A5" w:rsidRPr="008B79A5" w:rsidRDefault="008B79A5" w:rsidP="008B79A5">
            <w:pPr>
              <w:suppressAutoHyphens/>
              <w:jc w:val="center"/>
              <w:rPr>
                <w:color w:val="000000"/>
                <w:sz w:val="22"/>
                <w:szCs w:val="22"/>
                <w:lang w:val="lv-LV" w:eastAsia="ar-SA"/>
              </w:rPr>
            </w:pPr>
            <w:r w:rsidRPr="008B79A5">
              <w:rPr>
                <w:color w:val="000000"/>
                <w:sz w:val="22"/>
                <w:szCs w:val="22"/>
                <w:lang w:val="lv-LV" w:eastAsia="ar-SA"/>
              </w:rPr>
              <w:t>6</w:t>
            </w:r>
          </w:p>
        </w:tc>
      </w:tr>
      <w:tr w:rsidR="008B79A5" w:rsidRPr="008B79A5" w:rsidTr="006772AE">
        <w:trPr>
          <w:jc w:val="center"/>
        </w:trPr>
        <w:tc>
          <w:tcPr>
            <w:tcW w:w="625" w:type="dxa"/>
            <w:tcBorders>
              <w:top w:val="single" w:sz="12" w:space="0" w:color="auto"/>
            </w:tcBorders>
          </w:tcPr>
          <w:p w:rsidR="008B79A5" w:rsidRPr="008B79A5" w:rsidRDefault="008B79A5" w:rsidP="008B79A5">
            <w:pPr>
              <w:suppressAutoHyphens/>
              <w:rPr>
                <w:color w:val="000000"/>
                <w:sz w:val="20"/>
                <w:szCs w:val="20"/>
                <w:lang w:val="lv-LV" w:eastAsia="ar-SA"/>
              </w:rPr>
            </w:pPr>
            <w:r w:rsidRPr="008B79A5">
              <w:rPr>
                <w:color w:val="000000"/>
                <w:sz w:val="20"/>
                <w:szCs w:val="20"/>
                <w:lang w:val="lv-LV" w:eastAsia="ar-SA"/>
              </w:rPr>
              <w:t>2.3</w:t>
            </w:r>
          </w:p>
        </w:tc>
        <w:tc>
          <w:tcPr>
            <w:tcW w:w="8010" w:type="dxa"/>
            <w:tcBorders>
              <w:top w:val="single" w:sz="12" w:space="0" w:color="auto"/>
            </w:tcBorders>
          </w:tcPr>
          <w:p w:rsidR="008B79A5" w:rsidRPr="008B79A5" w:rsidRDefault="008B79A5" w:rsidP="008B79A5">
            <w:pPr>
              <w:suppressAutoHyphens/>
              <w:rPr>
                <w:color w:val="000000"/>
                <w:sz w:val="22"/>
                <w:szCs w:val="22"/>
                <w:lang w:val="lv-LV" w:eastAsia="ar-SA"/>
              </w:rPr>
            </w:pPr>
            <w:r w:rsidRPr="008B79A5">
              <w:rPr>
                <w:sz w:val="22"/>
                <w:szCs w:val="22"/>
                <w:lang w:val="lv-LV" w:eastAsia="ar-SA"/>
              </w:rPr>
              <w:t xml:space="preserve">Ja tiek nodrošināta REELS elastīgā pīķa FWHM ≤ 0.5 </w:t>
            </w:r>
            <w:proofErr w:type="spellStart"/>
            <w:r w:rsidRPr="008B79A5">
              <w:rPr>
                <w:sz w:val="22"/>
                <w:szCs w:val="22"/>
                <w:lang w:val="lv-LV" w:eastAsia="ar-SA"/>
              </w:rPr>
              <w:t>eV</w:t>
            </w:r>
            <w:proofErr w:type="spellEnd"/>
            <w:r w:rsidRPr="008B79A5">
              <w:rPr>
                <w:sz w:val="22"/>
                <w:szCs w:val="22"/>
                <w:lang w:val="lv-LV" w:eastAsia="ar-SA"/>
              </w:rPr>
              <w:t xml:space="preserve"> (</w:t>
            </w:r>
            <w:proofErr w:type="spellStart"/>
            <w:r w:rsidRPr="008B79A5">
              <w:rPr>
                <w:sz w:val="22"/>
                <w:szCs w:val="22"/>
                <w:lang w:val="lv-LV" w:eastAsia="ar-SA"/>
              </w:rPr>
              <w:t>Ag</w:t>
            </w:r>
            <w:proofErr w:type="spellEnd"/>
            <w:r w:rsidRPr="008B79A5">
              <w:rPr>
                <w:sz w:val="22"/>
                <w:szCs w:val="22"/>
                <w:lang w:val="lv-LV" w:eastAsia="ar-SA"/>
              </w:rPr>
              <w:t xml:space="preserve"> paraugam (</w:t>
            </w:r>
            <w:r w:rsidRPr="008B79A5">
              <w:rPr>
                <w:color w:val="000000"/>
                <w:sz w:val="22"/>
                <w:szCs w:val="22"/>
                <w:lang w:val="lv-LV" w:eastAsia="ar-SA"/>
              </w:rPr>
              <w:t>specifikācijas 1.1.6. punkts)</w:t>
            </w:r>
            <w:r w:rsidRPr="008B79A5">
              <w:rPr>
                <w:sz w:val="22"/>
                <w:szCs w:val="22"/>
                <w:lang w:val="lv-LV" w:eastAsia="ar-SA"/>
              </w:rPr>
              <w:t xml:space="preserve">, izmantojot lādiņa neitralizācijai elektronus ar enerģiju 1 </w:t>
            </w:r>
            <w:proofErr w:type="spellStart"/>
            <w:r w:rsidRPr="008B79A5">
              <w:rPr>
                <w:sz w:val="22"/>
                <w:szCs w:val="22"/>
                <w:lang w:val="lv-LV" w:eastAsia="ar-SA"/>
              </w:rPr>
              <w:t>keV</w:t>
            </w:r>
            <w:proofErr w:type="spellEnd"/>
            <w:r w:rsidRPr="008B79A5">
              <w:rPr>
                <w:sz w:val="22"/>
                <w:szCs w:val="22"/>
                <w:lang w:val="lv-LV" w:eastAsia="ar-SA"/>
              </w:rPr>
              <w:t>), tad tiek piešķirti 5 punkti.</w:t>
            </w:r>
          </w:p>
        </w:tc>
        <w:tc>
          <w:tcPr>
            <w:tcW w:w="1350" w:type="dxa"/>
            <w:tcBorders>
              <w:top w:val="single" w:sz="12" w:space="0" w:color="auto"/>
            </w:tcBorders>
            <w:vAlign w:val="center"/>
          </w:tcPr>
          <w:p w:rsidR="008B79A5" w:rsidRPr="008B79A5" w:rsidRDefault="008B79A5" w:rsidP="008B79A5">
            <w:pPr>
              <w:suppressAutoHyphens/>
              <w:jc w:val="center"/>
              <w:rPr>
                <w:color w:val="000000"/>
                <w:sz w:val="22"/>
                <w:szCs w:val="22"/>
                <w:lang w:val="lv-LV" w:eastAsia="ar-SA"/>
              </w:rPr>
            </w:pPr>
            <w:r w:rsidRPr="008B79A5">
              <w:rPr>
                <w:color w:val="000000"/>
                <w:sz w:val="22"/>
                <w:szCs w:val="22"/>
                <w:lang w:val="lv-LV" w:eastAsia="ar-SA"/>
              </w:rPr>
              <w:t>5</w:t>
            </w:r>
          </w:p>
        </w:tc>
      </w:tr>
      <w:tr w:rsidR="008B79A5" w:rsidRPr="008B79A5" w:rsidTr="006772AE">
        <w:trPr>
          <w:jc w:val="center"/>
        </w:trPr>
        <w:tc>
          <w:tcPr>
            <w:tcW w:w="625" w:type="dxa"/>
            <w:tcBorders>
              <w:top w:val="single" w:sz="12" w:space="0" w:color="auto"/>
            </w:tcBorders>
            <w:vAlign w:val="center"/>
          </w:tcPr>
          <w:p w:rsidR="008B79A5" w:rsidRPr="008B79A5" w:rsidRDefault="008B79A5" w:rsidP="008B79A5">
            <w:pPr>
              <w:suppressAutoHyphens/>
              <w:rPr>
                <w:color w:val="000000"/>
                <w:sz w:val="20"/>
                <w:szCs w:val="20"/>
                <w:lang w:val="lv-LV" w:eastAsia="ar-SA"/>
              </w:rPr>
            </w:pPr>
            <w:r w:rsidRPr="008B79A5">
              <w:rPr>
                <w:color w:val="000000"/>
                <w:sz w:val="20"/>
                <w:szCs w:val="20"/>
                <w:lang w:val="lv-LV" w:eastAsia="ar-SA"/>
              </w:rPr>
              <w:t>2.4</w:t>
            </w:r>
          </w:p>
        </w:tc>
        <w:tc>
          <w:tcPr>
            <w:tcW w:w="8010" w:type="dxa"/>
            <w:tcBorders>
              <w:top w:val="single" w:sz="12" w:space="0" w:color="auto"/>
            </w:tcBorders>
          </w:tcPr>
          <w:p w:rsidR="008B79A5" w:rsidRPr="008B79A5" w:rsidRDefault="008B79A5" w:rsidP="008B79A5">
            <w:pPr>
              <w:suppressAutoHyphens/>
              <w:jc w:val="both"/>
              <w:rPr>
                <w:sz w:val="22"/>
                <w:szCs w:val="22"/>
                <w:lang w:val="lv-LV" w:eastAsia="ar-SA"/>
              </w:rPr>
            </w:pPr>
            <w:r w:rsidRPr="008B79A5">
              <w:rPr>
                <w:sz w:val="22"/>
                <w:szCs w:val="22"/>
                <w:lang w:val="lv-LV" w:eastAsia="ar-SA"/>
              </w:rPr>
              <w:t xml:space="preserve">Ja XPS modulim tiek nodrošināta jonu izkliedes </w:t>
            </w:r>
            <w:proofErr w:type="spellStart"/>
            <w:r w:rsidRPr="008B79A5">
              <w:rPr>
                <w:sz w:val="22"/>
                <w:szCs w:val="22"/>
                <w:lang w:val="lv-LV" w:eastAsia="ar-SA"/>
              </w:rPr>
              <w:t>spektroskopija</w:t>
            </w:r>
            <w:proofErr w:type="spellEnd"/>
            <w:r w:rsidRPr="008B79A5">
              <w:rPr>
                <w:sz w:val="22"/>
                <w:szCs w:val="22"/>
                <w:lang w:val="lv-LV" w:eastAsia="ar-SA"/>
              </w:rPr>
              <w:t xml:space="preserve"> (</w:t>
            </w:r>
            <w:proofErr w:type="spellStart"/>
            <w:r w:rsidRPr="008B79A5">
              <w:rPr>
                <w:sz w:val="22"/>
                <w:szCs w:val="22"/>
                <w:lang w:val="lv-LV" w:eastAsia="ar-SA"/>
              </w:rPr>
              <w:t>Ion</w:t>
            </w:r>
            <w:proofErr w:type="spellEnd"/>
            <w:r w:rsidRPr="008B79A5">
              <w:rPr>
                <w:sz w:val="22"/>
                <w:szCs w:val="22"/>
                <w:lang w:val="lv-LV" w:eastAsia="ar-SA"/>
              </w:rPr>
              <w:t xml:space="preserve"> </w:t>
            </w:r>
            <w:proofErr w:type="spellStart"/>
            <w:r w:rsidRPr="008B79A5">
              <w:rPr>
                <w:sz w:val="22"/>
                <w:szCs w:val="22"/>
                <w:lang w:val="lv-LV" w:eastAsia="ar-SA"/>
              </w:rPr>
              <w:t>Scattering</w:t>
            </w:r>
            <w:proofErr w:type="spellEnd"/>
            <w:r w:rsidRPr="008B79A5">
              <w:rPr>
                <w:sz w:val="22"/>
                <w:szCs w:val="22"/>
                <w:lang w:val="lv-LV" w:eastAsia="ar-SA"/>
              </w:rPr>
              <w:t xml:space="preserve"> </w:t>
            </w:r>
            <w:proofErr w:type="spellStart"/>
            <w:r w:rsidRPr="008B79A5">
              <w:rPr>
                <w:sz w:val="22"/>
                <w:szCs w:val="22"/>
                <w:lang w:val="lv-LV" w:eastAsia="ar-SA"/>
              </w:rPr>
              <w:t>Spectroscopy</w:t>
            </w:r>
            <w:proofErr w:type="spellEnd"/>
            <w:r w:rsidRPr="008B79A5">
              <w:rPr>
                <w:sz w:val="22"/>
                <w:szCs w:val="22"/>
                <w:lang w:val="lv-LV" w:eastAsia="ar-SA"/>
              </w:rPr>
              <w:t xml:space="preserve"> - ISS), ar Au pīķa FWHM ≤13 </w:t>
            </w:r>
            <w:proofErr w:type="spellStart"/>
            <w:r w:rsidRPr="008B79A5">
              <w:rPr>
                <w:sz w:val="22"/>
                <w:szCs w:val="22"/>
                <w:lang w:val="lv-LV" w:eastAsia="ar-SA"/>
              </w:rPr>
              <w:t>eV</w:t>
            </w:r>
            <w:proofErr w:type="spellEnd"/>
            <w:r w:rsidRPr="008B79A5">
              <w:rPr>
                <w:sz w:val="22"/>
                <w:szCs w:val="22"/>
                <w:lang w:val="lv-LV" w:eastAsia="ar-SA"/>
              </w:rPr>
              <w:t xml:space="preserve"> (Au paraugs, pie 1 </w:t>
            </w:r>
            <w:proofErr w:type="spellStart"/>
            <w:r w:rsidRPr="008B79A5">
              <w:rPr>
                <w:sz w:val="22"/>
                <w:szCs w:val="22"/>
                <w:lang w:val="lv-LV" w:eastAsia="ar-SA"/>
              </w:rPr>
              <w:t>keV</w:t>
            </w:r>
            <w:proofErr w:type="spellEnd"/>
            <w:r w:rsidRPr="008B79A5">
              <w:rPr>
                <w:sz w:val="22"/>
                <w:szCs w:val="22"/>
                <w:lang w:val="lv-LV" w:eastAsia="ar-SA"/>
              </w:rPr>
              <w:t xml:space="preserve"> </w:t>
            </w:r>
            <w:proofErr w:type="spellStart"/>
            <w:r w:rsidRPr="008B79A5">
              <w:rPr>
                <w:sz w:val="22"/>
                <w:szCs w:val="22"/>
                <w:lang w:val="lv-LV" w:eastAsia="ar-SA"/>
              </w:rPr>
              <w:t>He</w:t>
            </w:r>
            <w:proofErr w:type="spellEnd"/>
            <w:r w:rsidRPr="008B79A5">
              <w:rPr>
                <w:sz w:val="22"/>
                <w:szCs w:val="22"/>
                <w:lang w:val="lv-LV" w:eastAsia="ar-SA"/>
              </w:rPr>
              <w:t>+ jonu avota), tad tiek piešķirti 5 punkti.</w:t>
            </w:r>
          </w:p>
        </w:tc>
        <w:tc>
          <w:tcPr>
            <w:tcW w:w="1350" w:type="dxa"/>
            <w:tcBorders>
              <w:top w:val="single" w:sz="12" w:space="0" w:color="auto"/>
            </w:tcBorders>
            <w:vAlign w:val="center"/>
          </w:tcPr>
          <w:p w:rsidR="008B79A5" w:rsidRPr="008B79A5" w:rsidRDefault="008B79A5" w:rsidP="008B79A5">
            <w:pPr>
              <w:suppressAutoHyphens/>
              <w:jc w:val="center"/>
              <w:rPr>
                <w:color w:val="000000"/>
                <w:sz w:val="22"/>
                <w:szCs w:val="22"/>
                <w:lang w:val="lv-LV" w:eastAsia="ar-SA"/>
              </w:rPr>
            </w:pPr>
            <w:r w:rsidRPr="008B79A5">
              <w:rPr>
                <w:color w:val="000000"/>
                <w:sz w:val="22"/>
                <w:szCs w:val="22"/>
                <w:lang w:val="lv-LV" w:eastAsia="ar-SA"/>
              </w:rPr>
              <w:t>5</w:t>
            </w:r>
          </w:p>
        </w:tc>
      </w:tr>
      <w:tr w:rsidR="008B79A5" w:rsidRPr="008B79A5" w:rsidTr="006772AE">
        <w:trPr>
          <w:jc w:val="center"/>
        </w:trPr>
        <w:tc>
          <w:tcPr>
            <w:tcW w:w="625" w:type="dxa"/>
            <w:tcBorders>
              <w:top w:val="single" w:sz="12" w:space="0" w:color="auto"/>
            </w:tcBorders>
            <w:vAlign w:val="center"/>
          </w:tcPr>
          <w:p w:rsidR="008B79A5" w:rsidRPr="008B79A5" w:rsidRDefault="008B79A5" w:rsidP="008B79A5">
            <w:pPr>
              <w:suppressAutoHyphens/>
              <w:rPr>
                <w:color w:val="000000"/>
                <w:sz w:val="20"/>
                <w:szCs w:val="20"/>
                <w:lang w:val="lv-LV" w:eastAsia="ar-SA"/>
              </w:rPr>
            </w:pPr>
            <w:r w:rsidRPr="008B79A5">
              <w:rPr>
                <w:color w:val="000000"/>
                <w:sz w:val="20"/>
                <w:szCs w:val="20"/>
                <w:lang w:val="lv-LV" w:eastAsia="ar-SA"/>
              </w:rPr>
              <w:t>2.5</w:t>
            </w:r>
          </w:p>
        </w:tc>
        <w:tc>
          <w:tcPr>
            <w:tcW w:w="8010" w:type="dxa"/>
            <w:tcBorders>
              <w:top w:val="single" w:sz="12" w:space="0" w:color="auto"/>
            </w:tcBorders>
          </w:tcPr>
          <w:p w:rsidR="008B79A5" w:rsidRPr="008B79A5" w:rsidRDefault="008B79A5" w:rsidP="008B79A5">
            <w:pPr>
              <w:suppressAutoHyphens/>
              <w:rPr>
                <w:color w:val="000000"/>
                <w:sz w:val="22"/>
                <w:szCs w:val="22"/>
                <w:lang w:val="lv-LV" w:eastAsia="ar-SA"/>
              </w:rPr>
            </w:pPr>
            <w:r w:rsidRPr="008B79A5">
              <w:rPr>
                <w:sz w:val="22"/>
                <w:szCs w:val="22"/>
                <w:lang w:val="lv-LV" w:eastAsia="ar-SA"/>
              </w:rPr>
              <w:t>Ja tiek piedāvāta duāla monohromatiska sistēma (</w:t>
            </w:r>
            <w:r w:rsidRPr="008B79A5">
              <w:rPr>
                <w:color w:val="000000"/>
                <w:sz w:val="22"/>
                <w:szCs w:val="22"/>
                <w:lang w:val="lv-LV" w:eastAsia="ar-SA"/>
              </w:rPr>
              <w:t>specifikācijas 1.1.8. punkts)</w:t>
            </w:r>
            <w:r w:rsidRPr="008B79A5">
              <w:rPr>
                <w:sz w:val="22"/>
                <w:szCs w:val="22"/>
                <w:lang w:val="lv-LV" w:eastAsia="ar-SA"/>
              </w:rPr>
              <w:t xml:space="preserve"> ar </w:t>
            </w:r>
            <w:r w:rsidRPr="008B79A5">
              <w:rPr>
                <w:color w:val="000000"/>
                <w:sz w:val="22"/>
                <w:szCs w:val="22"/>
                <w:lang w:val="lv-LV" w:eastAsia="ar-SA"/>
              </w:rPr>
              <w:t xml:space="preserve">Al K-α un </w:t>
            </w:r>
            <w:proofErr w:type="spellStart"/>
            <w:r w:rsidRPr="008B79A5">
              <w:rPr>
                <w:color w:val="000000"/>
                <w:sz w:val="22"/>
                <w:szCs w:val="22"/>
                <w:lang w:val="lv-LV" w:eastAsia="ar-SA"/>
              </w:rPr>
              <w:t>Ag</w:t>
            </w:r>
            <w:proofErr w:type="spellEnd"/>
            <w:r w:rsidRPr="008B79A5">
              <w:rPr>
                <w:color w:val="000000"/>
                <w:sz w:val="22"/>
                <w:szCs w:val="22"/>
                <w:lang w:val="lv-LV" w:eastAsia="ar-SA"/>
              </w:rPr>
              <w:t xml:space="preserve"> L-α vai citu rentgenstarojumu, tad tiek piešķirti 5 punkti.</w:t>
            </w:r>
          </w:p>
        </w:tc>
        <w:tc>
          <w:tcPr>
            <w:tcW w:w="1350" w:type="dxa"/>
            <w:tcBorders>
              <w:top w:val="single" w:sz="12" w:space="0" w:color="auto"/>
            </w:tcBorders>
            <w:vAlign w:val="center"/>
          </w:tcPr>
          <w:p w:rsidR="008B79A5" w:rsidRPr="008B79A5" w:rsidRDefault="008B79A5" w:rsidP="008B79A5">
            <w:pPr>
              <w:suppressAutoHyphens/>
              <w:jc w:val="center"/>
              <w:rPr>
                <w:color w:val="000000"/>
                <w:sz w:val="22"/>
                <w:szCs w:val="22"/>
                <w:lang w:val="lv-LV" w:eastAsia="ar-SA"/>
              </w:rPr>
            </w:pPr>
            <w:r w:rsidRPr="008B79A5">
              <w:rPr>
                <w:color w:val="000000"/>
                <w:sz w:val="22"/>
                <w:szCs w:val="22"/>
                <w:lang w:val="lv-LV" w:eastAsia="ar-SA"/>
              </w:rPr>
              <w:t>5</w:t>
            </w:r>
          </w:p>
        </w:tc>
      </w:tr>
      <w:tr w:rsidR="008B79A5" w:rsidRPr="008B79A5" w:rsidTr="006772AE">
        <w:trPr>
          <w:jc w:val="center"/>
        </w:trPr>
        <w:tc>
          <w:tcPr>
            <w:tcW w:w="625" w:type="dxa"/>
            <w:tcBorders>
              <w:top w:val="single" w:sz="12" w:space="0" w:color="auto"/>
            </w:tcBorders>
            <w:vAlign w:val="center"/>
          </w:tcPr>
          <w:p w:rsidR="008B79A5" w:rsidRPr="008B79A5" w:rsidRDefault="008B79A5" w:rsidP="008B79A5">
            <w:pPr>
              <w:suppressAutoHyphens/>
              <w:rPr>
                <w:color w:val="000000"/>
                <w:sz w:val="20"/>
                <w:szCs w:val="20"/>
                <w:lang w:val="lv-LV" w:eastAsia="ar-SA"/>
              </w:rPr>
            </w:pPr>
            <w:r w:rsidRPr="008B79A5">
              <w:rPr>
                <w:color w:val="000000"/>
                <w:sz w:val="20"/>
                <w:szCs w:val="20"/>
                <w:lang w:val="lv-LV" w:eastAsia="ar-SA"/>
              </w:rPr>
              <w:t>2.6</w:t>
            </w:r>
          </w:p>
        </w:tc>
        <w:tc>
          <w:tcPr>
            <w:tcW w:w="8010" w:type="dxa"/>
            <w:tcBorders>
              <w:top w:val="single" w:sz="12" w:space="0" w:color="auto"/>
            </w:tcBorders>
          </w:tcPr>
          <w:p w:rsidR="008B79A5" w:rsidRPr="008B79A5" w:rsidRDefault="008B79A5" w:rsidP="008B79A5">
            <w:pPr>
              <w:suppressAutoHyphens/>
              <w:jc w:val="both"/>
              <w:rPr>
                <w:color w:val="000000"/>
                <w:sz w:val="22"/>
                <w:szCs w:val="22"/>
                <w:lang w:val="lv-LV" w:eastAsia="ar-SA"/>
              </w:rPr>
            </w:pPr>
            <w:r w:rsidRPr="008B79A5">
              <w:rPr>
                <w:color w:val="000000"/>
                <w:sz w:val="22"/>
                <w:szCs w:val="22"/>
                <w:lang w:val="lv-LV" w:eastAsia="ar-SA"/>
              </w:rPr>
              <w:t xml:space="preserve">Ja tiek piedāvāta sistēma ar minimālu analizējamu laukumu </w:t>
            </w:r>
            <w:r w:rsidRPr="008B79A5">
              <w:rPr>
                <w:sz w:val="22"/>
                <w:szCs w:val="22"/>
                <w:lang w:val="lv-LV" w:eastAsia="ar-SA"/>
              </w:rPr>
              <w:t>≤400</w:t>
            </w:r>
            <w:r w:rsidRPr="008B79A5">
              <w:rPr>
                <w:color w:val="000000"/>
                <w:sz w:val="22"/>
                <w:szCs w:val="22"/>
                <w:lang w:val="lv-LV" w:eastAsia="ar-SA"/>
              </w:rPr>
              <w:t>µm² (20 µm x 20 µm).</w:t>
            </w:r>
          </w:p>
          <w:p w:rsidR="008B79A5" w:rsidRPr="008B79A5" w:rsidRDefault="008B79A5" w:rsidP="008B79A5">
            <w:pPr>
              <w:suppressAutoHyphens/>
              <w:jc w:val="both"/>
              <w:rPr>
                <w:color w:val="000000"/>
                <w:sz w:val="22"/>
                <w:szCs w:val="22"/>
                <w:lang w:val="lv-LV" w:eastAsia="ar-SA"/>
              </w:rPr>
            </w:pPr>
            <w:r w:rsidRPr="008B79A5">
              <w:rPr>
                <w:color w:val="000000"/>
                <w:sz w:val="22"/>
                <w:szCs w:val="22"/>
                <w:lang w:val="lv-LV" w:eastAsia="ar-SA"/>
              </w:rPr>
              <w:t xml:space="preserve"> (µm²), (specifikācijas 1.1.12 punkts) tad tiek piešķirti punkti pēc formulas (maks.4 punkti):</w:t>
            </w:r>
          </w:p>
          <w:p w:rsidR="008B79A5" w:rsidRPr="008B79A5" w:rsidRDefault="008B79A5" w:rsidP="008B79A5">
            <w:pPr>
              <w:suppressAutoHyphens/>
              <w:rPr>
                <w:color w:val="000000"/>
                <w:sz w:val="22"/>
                <w:szCs w:val="22"/>
                <w:lang w:val="lv-LV" w:eastAsia="ar-SA"/>
              </w:rPr>
            </w:pPr>
            <m:oMathPara>
              <m:oMath>
                <m:r>
                  <m:rPr>
                    <m:sty m:val="p"/>
                  </m:rPr>
                  <w:rPr>
                    <w:rFonts w:ascii="Cambria Math" w:hAnsi="Cambria Math"/>
                    <w:color w:val="000000"/>
                    <w:sz w:val="22"/>
                    <w:szCs w:val="22"/>
                    <w:lang w:val="lv-LV" w:eastAsia="ar-SA"/>
                  </w:rPr>
                  <m:t>Piešķirti punkti=</m:t>
                </m:r>
                <m:f>
                  <m:fPr>
                    <m:ctrlPr>
                      <w:rPr>
                        <w:rFonts w:ascii="Cambria Math" w:hAnsi="Cambria Math"/>
                        <w:color w:val="000000"/>
                        <w:sz w:val="22"/>
                        <w:szCs w:val="22"/>
                        <w:lang w:val="lv-LV" w:eastAsia="ar-SA"/>
                      </w:rPr>
                    </m:ctrlPr>
                  </m:fPr>
                  <m:num>
                    <m:r>
                      <m:rPr>
                        <m:sty m:val="p"/>
                      </m:rPr>
                      <w:rPr>
                        <w:rFonts w:ascii="Cambria Math" w:hAnsi="Cambria Math"/>
                        <w:color w:val="000000"/>
                        <w:sz w:val="22"/>
                        <w:szCs w:val="22"/>
                        <w:lang w:val="lv-LV" w:eastAsia="ar-SA"/>
                      </w:rPr>
                      <m:t>Labākais piedāvātais minimālais analizējamais laukums</m:t>
                    </m:r>
                  </m:num>
                  <m:den>
                    <m:r>
                      <m:rPr>
                        <m:sty m:val="p"/>
                      </m:rPr>
                      <w:rPr>
                        <w:rFonts w:ascii="Cambria Math" w:hAnsi="Cambria Math"/>
                        <w:color w:val="000000"/>
                        <w:sz w:val="22"/>
                        <w:szCs w:val="22"/>
                        <w:lang w:val="lv-LV" w:eastAsia="ar-SA"/>
                      </w:rPr>
                      <m:t xml:space="preserve">Pretendenta piedāvātās sistēmas minimālais analizējamais laukums </m:t>
                    </m:r>
                  </m:den>
                </m:f>
                <m:r>
                  <m:rPr>
                    <m:sty m:val="p"/>
                  </m:rPr>
                  <w:rPr>
                    <w:rFonts w:ascii="Cambria Math" w:hAnsi="Cambria Math"/>
                    <w:color w:val="000000"/>
                    <w:sz w:val="22"/>
                    <w:szCs w:val="22"/>
                    <w:lang w:val="lv-LV" w:eastAsia="ar-SA"/>
                  </w:rPr>
                  <m:t>×4</m:t>
                </m:r>
              </m:oMath>
            </m:oMathPara>
          </w:p>
        </w:tc>
        <w:tc>
          <w:tcPr>
            <w:tcW w:w="1350" w:type="dxa"/>
            <w:tcBorders>
              <w:top w:val="single" w:sz="12" w:space="0" w:color="auto"/>
            </w:tcBorders>
            <w:vAlign w:val="center"/>
          </w:tcPr>
          <w:p w:rsidR="008B79A5" w:rsidRPr="008B79A5" w:rsidRDefault="008B79A5" w:rsidP="008B79A5">
            <w:pPr>
              <w:suppressAutoHyphens/>
              <w:jc w:val="center"/>
              <w:rPr>
                <w:color w:val="000000"/>
                <w:sz w:val="22"/>
                <w:szCs w:val="22"/>
                <w:lang w:val="lv-LV" w:eastAsia="ar-SA"/>
              </w:rPr>
            </w:pPr>
            <w:r w:rsidRPr="008B79A5">
              <w:rPr>
                <w:color w:val="000000"/>
                <w:sz w:val="22"/>
                <w:szCs w:val="22"/>
                <w:lang w:val="lv-LV" w:eastAsia="ar-SA"/>
              </w:rPr>
              <w:t>4</w:t>
            </w:r>
          </w:p>
        </w:tc>
      </w:tr>
      <w:tr w:rsidR="008B79A5" w:rsidRPr="008B79A5" w:rsidTr="006772AE">
        <w:trPr>
          <w:jc w:val="center"/>
        </w:trPr>
        <w:tc>
          <w:tcPr>
            <w:tcW w:w="625" w:type="dxa"/>
            <w:tcBorders>
              <w:top w:val="single" w:sz="12" w:space="0" w:color="auto"/>
            </w:tcBorders>
            <w:vAlign w:val="center"/>
          </w:tcPr>
          <w:p w:rsidR="008B79A5" w:rsidRPr="008B79A5" w:rsidRDefault="008B79A5" w:rsidP="008B79A5">
            <w:pPr>
              <w:suppressAutoHyphens/>
              <w:rPr>
                <w:b/>
                <w:color w:val="000000"/>
                <w:sz w:val="20"/>
                <w:szCs w:val="20"/>
                <w:lang w:val="lv-LV" w:eastAsia="ar-SA"/>
              </w:rPr>
            </w:pPr>
            <w:r w:rsidRPr="008B79A5">
              <w:rPr>
                <w:b/>
                <w:color w:val="000000"/>
                <w:sz w:val="20"/>
                <w:szCs w:val="20"/>
                <w:lang w:val="lv-LV" w:eastAsia="ar-SA"/>
              </w:rPr>
              <w:lastRenderedPageBreak/>
              <w:t>3</w:t>
            </w:r>
          </w:p>
        </w:tc>
        <w:tc>
          <w:tcPr>
            <w:tcW w:w="8010" w:type="dxa"/>
            <w:tcBorders>
              <w:top w:val="single" w:sz="12" w:space="0" w:color="auto"/>
            </w:tcBorders>
          </w:tcPr>
          <w:p w:rsidR="008B79A5" w:rsidRPr="008B79A5" w:rsidRDefault="008B79A5" w:rsidP="008B79A5">
            <w:pPr>
              <w:suppressAutoHyphens/>
              <w:jc w:val="both"/>
              <w:rPr>
                <w:b/>
                <w:i/>
                <w:sz w:val="22"/>
                <w:szCs w:val="22"/>
                <w:lang w:val="lv-LV" w:eastAsia="ar-SA"/>
              </w:rPr>
            </w:pPr>
            <w:proofErr w:type="spellStart"/>
            <w:r w:rsidRPr="008B79A5">
              <w:rPr>
                <w:b/>
                <w:i/>
                <w:sz w:val="22"/>
                <w:szCs w:val="22"/>
                <w:lang w:val="lv-LV" w:eastAsia="ar-SA"/>
              </w:rPr>
              <w:t>Ožē</w:t>
            </w:r>
            <w:proofErr w:type="spellEnd"/>
            <w:r w:rsidRPr="008B79A5">
              <w:rPr>
                <w:b/>
                <w:i/>
                <w:sz w:val="22"/>
                <w:szCs w:val="22"/>
                <w:lang w:val="lv-LV" w:eastAsia="ar-SA"/>
              </w:rPr>
              <w:t xml:space="preserve"> </w:t>
            </w:r>
            <w:proofErr w:type="spellStart"/>
            <w:r w:rsidRPr="008B79A5">
              <w:rPr>
                <w:b/>
                <w:i/>
                <w:sz w:val="22"/>
                <w:szCs w:val="22"/>
                <w:lang w:val="lv-LV" w:eastAsia="ar-SA"/>
              </w:rPr>
              <w:t>spektroskopijas</w:t>
            </w:r>
            <w:proofErr w:type="spellEnd"/>
            <w:r w:rsidRPr="008B79A5">
              <w:rPr>
                <w:b/>
                <w:i/>
                <w:sz w:val="22"/>
                <w:szCs w:val="22"/>
                <w:lang w:val="lv-LV" w:eastAsia="ar-SA"/>
              </w:rPr>
              <w:t xml:space="preserve"> </w:t>
            </w:r>
            <w:r w:rsidRPr="008B79A5">
              <w:rPr>
                <w:b/>
                <w:i/>
                <w:color w:val="000000"/>
                <w:sz w:val="22"/>
                <w:szCs w:val="22"/>
                <w:lang w:val="lv-LV" w:eastAsia="ar-SA"/>
              </w:rPr>
              <w:t>moduļa</w:t>
            </w:r>
            <w:r w:rsidRPr="008B79A5">
              <w:rPr>
                <w:b/>
                <w:i/>
                <w:sz w:val="22"/>
                <w:szCs w:val="22"/>
                <w:lang w:val="lv-LV" w:eastAsia="ar-SA"/>
              </w:rPr>
              <w:t xml:space="preserve"> t</w:t>
            </w:r>
            <w:r w:rsidRPr="008B79A5">
              <w:rPr>
                <w:b/>
                <w:i/>
                <w:color w:val="000000"/>
                <w:sz w:val="22"/>
                <w:szCs w:val="22"/>
                <w:lang w:val="lv-LV" w:eastAsia="ar-SA"/>
              </w:rPr>
              <w:t>ehniskais vērtējums (maks.5 punkti)</w:t>
            </w:r>
          </w:p>
          <w:p w:rsidR="008B79A5" w:rsidRPr="008B79A5" w:rsidRDefault="008B79A5" w:rsidP="008B79A5">
            <w:pPr>
              <w:suppressAutoHyphens/>
              <w:rPr>
                <w:color w:val="000000"/>
                <w:sz w:val="22"/>
                <w:szCs w:val="22"/>
                <w:lang w:val="lv-LV" w:eastAsia="ar-SA"/>
              </w:rPr>
            </w:pPr>
            <w:r w:rsidRPr="008B79A5">
              <w:rPr>
                <w:i/>
                <w:color w:val="000000"/>
                <w:sz w:val="22"/>
                <w:szCs w:val="22"/>
                <w:lang w:val="lv-LV" w:eastAsia="ar-SA"/>
              </w:rPr>
              <w:t>Punkti tiek piešķirti par attiecīgām prasībām:</w:t>
            </w:r>
          </w:p>
        </w:tc>
        <w:tc>
          <w:tcPr>
            <w:tcW w:w="1350" w:type="dxa"/>
            <w:tcBorders>
              <w:top w:val="single" w:sz="12" w:space="0" w:color="auto"/>
            </w:tcBorders>
            <w:vAlign w:val="center"/>
          </w:tcPr>
          <w:p w:rsidR="008B79A5" w:rsidRPr="008B79A5" w:rsidRDefault="008B79A5" w:rsidP="008B79A5">
            <w:pPr>
              <w:suppressAutoHyphens/>
              <w:jc w:val="center"/>
              <w:rPr>
                <w:color w:val="000000"/>
                <w:sz w:val="22"/>
                <w:szCs w:val="22"/>
                <w:lang w:val="lv-LV" w:eastAsia="ar-SA"/>
              </w:rPr>
            </w:pPr>
          </w:p>
        </w:tc>
      </w:tr>
      <w:tr w:rsidR="008B79A5" w:rsidRPr="008B79A5" w:rsidTr="006772AE">
        <w:trPr>
          <w:jc w:val="center"/>
        </w:trPr>
        <w:tc>
          <w:tcPr>
            <w:tcW w:w="625" w:type="dxa"/>
            <w:tcBorders>
              <w:top w:val="single" w:sz="12" w:space="0" w:color="auto"/>
            </w:tcBorders>
            <w:vAlign w:val="center"/>
          </w:tcPr>
          <w:p w:rsidR="008B79A5" w:rsidRPr="008B79A5" w:rsidRDefault="008B79A5" w:rsidP="008B79A5">
            <w:pPr>
              <w:suppressAutoHyphens/>
              <w:rPr>
                <w:color w:val="000000"/>
                <w:sz w:val="20"/>
                <w:szCs w:val="20"/>
                <w:lang w:val="lv-LV" w:eastAsia="ar-SA"/>
              </w:rPr>
            </w:pPr>
            <w:r w:rsidRPr="008B79A5">
              <w:rPr>
                <w:color w:val="000000"/>
                <w:sz w:val="20"/>
                <w:szCs w:val="20"/>
                <w:lang w:val="lv-LV" w:eastAsia="ar-SA"/>
              </w:rPr>
              <w:t>3.1</w:t>
            </w:r>
          </w:p>
        </w:tc>
        <w:tc>
          <w:tcPr>
            <w:tcW w:w="8010" w:type="dxa"/>
            <w:tcBorders>
              <w:top w:val="single" w:sz="12" w:space="0" w:color="auto"/>
            </w:tcBorders>
          </w:tcPr>
          <w:p w:rsidR="008B79A5" w:rsidRPr="008B79A5" w:rsidRDefault="008B79A5" w:rsidP="008B79A5">
            <w:pPr>
              <w:suppressAutoHyphens/>
              <w:jc w:val="both"/>
              <w:rPr>
                <w:color w:val="000000"/>
                <w:sz w:val="22"/>
                <w:szCs w:val="22"/>
                <w:lang w:val="lv-LV" w:eastAsia="ar-SA"/>
              </w:rPr>
            </w:pPr>
            <w:r w:rsidRPr="008B79A5">
              <w:rPr>
                <w:color w:val="000000"/>
                <w:sz w:val="22"/>
                <w:szCs w:val="22"/>
                <w:lang w:val="lv-LV" w:eastAsia="ar-SA"/>
              </w:rPr>
              <w:t>Ja tiek piedāvāta sistēma ar telpisko izšķirtspēju &lt;100nm, (specifikācijas 1.2.1. punkts) tad tiek piešķirti punkti pēc formulas (maks.5 punkti):</w:t>
            </w:r>
          </w:p>
          <w:p w:rsidR="008B79A5" w:rsidRPr="008B79A5" w:rsidRDefault="008B79A5" w:rsidP="008B79A5">
            <w:pPr>
              <w:suppressAutoHyphens/>
              <w:rPr>
                <w:color w:val="000000"/>
                <w:sz w:val="22"/>
                <w:szCs w:val="22"/>
                <w:lang w:val="lv-LV" w:eastAsia="ar-SA"/>
              </w:rPr>
            </w:pPr>
            <m:oMathPara>
              <m:oMath>
                <m:r>
                  <m:rPr>
                    <m:sty m:val="p"/>
                  </m:rPr>
                  <w:rPr>
                    <w:rFonts w:ascii="Cambria Math" w:hAnsi="Cambria Math"/>
                    <w:color w:val="000000"/>
                    <w:sz w:val="22"/>
                    <w:szCs w:val="22"/>
                    <w:lang w:val="lv-LV" w:eastAsia="ar-SA"/>
                  </w:rPr>
                  <m:t>Piešķirti punkti=</m:t>
                </m:r>
                <m:f>
                  <m:fPr>
                    <m:ctrlPr>
                      <w:rPr>
                        <w:rFonts w:ascii="Cambria Math" w:hAnsi="Cambria Math"/>
                        <w:color w:val="000000"/>
                        <w:sz w:val="22"/>
                        <w:szCs w:val="22"/>
                        <w:lang w:val="lv-LV" w:eastAsia="ar-SA"/>
                      </w:rPr>
                    </m:ctrlPr>
                  </m:fPr>
                  <m:num>
                    <m:r>
                      <m:rPr>
                        <m:sty m:val="p"/>
                      </m:rPr>
                      <w:rPr>
                        <w:rFonts w:ascii="Cambria Math" w:hAnsi="Cambria Math"/>
                        <w:color w:val="000000"/>
                        <w:sz w:val="22"/>
                        <w:szCs w:val="22"/>
                        <w:lang w:val="lv-LV" w:eastAsia="ar-SA"/>
                      </w:rPr>
                      <m:t>Labākā piedāvātā telpiskā izšķirtspēja</m:t>
                    </m:r>
                  </m:num>
                  <m:den>
                    <m:r>
                      <m:rPr>
                        <m:sty m:val="p"/>
                      </m:rPr>
                      <w:rPr>
                        <w:rFonts w:ascii="Cambria Math" w:hAnsi="Cambria Math"/>
                        <w:color w:val="000000"/>
                        <w:sz w:val="22"/>
                        <w:szCs w:val="22"/>
                        <w:lang w:val="lv-LV" w:eastAsia="ar-SA"/>
                      </w:rPr>
                      <m:t xml:space="preserve">Pretendenta piedāvātās sistēmas telpiskā izšķirtspēja </m:t>
                    </m:r>
                  </m:den>
                </m:f>
                <m:r>
                  <m:rPr>
                    <m:sty m:val="p"/>
                  </m:rPr>
                  <w:rPr>
                    <w:rFonts w:ascii="Cambria Math" w:hAnsi="Cambria Math"/>
                    <w:color w:val="000000"/>
                    <w:sz w:val="22"/>
                    <w:szCs w:val="22"/>
                    <w:lang w:val="lv-LV" w:eastAsia="ar-SA"/>
                  </w:rPr>
                  <m:t>×5</m:t>
                </m:r>
              </m:oMath>
            </m:oMathPara>
          </w:p>
        </w:tc>
        <w:tc>
          <w:tcPr>
            <w:tcW w:w="1350" w:type="dxa"/>
            <w:tcBorders>
              <w:top w:val="single" w:sz="12" w:space="0" w:color="auto"/>
            </w:tcBorders>
            <w:vAlign w:val="center"/>
          </w:tcPr>
          <w:p w:rsidR="008B79A5" w:rsidRPr="008B79A5" w:rsidRDefault="008B79A5" w:rsidP="008B79A5">
            <w:pPr>
              <w:suppressAutoHyphens/>
              <w:jc w:val="center"/>
              <w:rPr>
                <w:color w:val="000000"/>
                <w:sz w:val="22"/>
                <w:szCs w:val="22"/>
                <w:lang w:val="lv-LV" w:eastAsia="ar-SA"/>
              </w:rPr>
            </w:pPr>
            <w:r w:rsidRPr="008B79A5">
              <w:rPr>
                <w:color w:val="000000"/>
                <w:sz w:val="22"/>
                <w:szCs w:val="22"/>
                <w:lang w:val="lv-LV" w:eastAsia="ar-SA"/>
              </w:rPr>
              <w:t>5</w:t>
            </w:r>
          </w:p>
        </w:tc>
      </w:tr>
      <w:tr w:rsidR="008B79A5" w:rsidRPr="008B79A5" w:rsidTr="006772AE">
        <w:trPr>
          <w:jc w:val="center"/>
        </w:trPr>
        <w:tc>
          <w:tcPr>
            <w:tcW w:w="625" w:type="dxa"/>
            <w:tcBorders>
              <w:top w:val="single" w:sz="12" w:space="0" w:color="auto"/>
            </w:tcBorders>
            <w:vAlign w:val="center"/>
          </w:tcPr>
          <w:p w:rsidR="008B79A5" w:rsidRPr="008B79A5" w:rsidRDefault="008B79A5" w:rsidP="008B79A5">
            <w:pPr>
              <w:suppressAutoHyphens/>
              <w:rPr>
                <w:b/>
                <w:color w:val="000000"/>
                <w:sz w:val="20"/>
                <w:szCs w:val="20"/>
                <w:lang w:val="lv-LV" w:eastAsia="ar-SA"/>
              </w:rPr>
            </w:pPr>
            <w:r w:rsidRPr="008B79A5">
              <w:rPr>
                <w:b/>
                <w:color w:val="000000"/>
                <w:sz w:val="20"/>
                <w:szCs w:val="20"/>
                <w:lang w:val="lv-LV" w:eastAsia="ar-SA"/>
              </w:rPr>
              <w:t>4</w:t>
            </w:r>
          </w:p>
        </w:tc>
        <w:tc>
          <w:tcPr>
            <w:tcW w:w="8010" w:type="dxa"/>
            <w:tcBorders>
              <w:top w:val="single" w:sz="12" w:space="0" w:color="auto"/>
            </w:tcBorders>
          </w:tcPr>
          <w:p w:rsidR="008B79A5" w:rsidRPr="008B79A5" w:rsidRDefault="008B79A5" w:rsidP="008B79A5">
            <w:pPr>
              <w:suppressAutoHyphens/>
              <w:jc w:val="both"/>
              <w:rPr>
                <w:b/>
                <w:i/>
                <w:sz w:val="22"/>
                <w:szCs w:val="22"/>
                <w:lang w:val="lv-LV" w:eastAsia="ar-SA"/>
              </w:rPr>
            </w:pPr>
            <w:r w:rsidRPr="008B79A5">
              <w:rPr>
                <w:b/>
                <w:i/>
                <w:sz w:val="22"/>
                <w:szCs w:val="22"/>
                <w:lang w:val="lv-LV" w:eastAsia="ar-SA"/>
              </w:rPr>
              <w:t xml:space="preserve">Sekundāro jonu </w:t>
            </w:r>
            <w:proofErr w:type="spellStart"/>
            <w:r w:rsidRPr="008B79A5">
              <w:rPr>
                <w:b/>
                <w:i/>
                <w:sz w:val="22"/>
                <w:szCs w:val="22"/>
                <w:lang w:val="lv-LV" w:eastAsia="ar-SA"/>
              </w:rPr>
              <w:t>masspektrometrijas</w:t>
            </w:r>
            <w:proofErr w:type="spellEnd"/>
            <w:r w:rsidRPr="008B79A5">
              <w:rPr>
                <w:b/>
                <w:i/>
                <w:sz w:val="22"/>
                <w:szCs w:val="22"/>
                <w:lang w:val="lv-LV" w:eastAsia="ar-SA"/>
              </w:rPr>
              <w:t xml:space="preserve"> </w:t>
            </w:r>
            <w:r w:rsidRPr="008B79A5">
              <w:rPr>
                <w:b/>
                <w:i/>
                <w:color w:val="000000"/>
                <w:sz w:val="22"/>
                <w:szCs w:val="22"/>
                <w:lang w:val="lv-LV" w:eastAsia="ar-SA"/>
              </w:rPr>
              <w:t>moduļa</w:t>
            </w:r>
            <w:r w:rsidRPr="008B79A5">
              <w:rPr>
                <w:b/>
                <w:i/>
                <w:sz w:val="22"/>
                <w:szCs w:val="22"/>
                <w:lang w:val="lv-LV" w:eastAsia="ar-SA"/>
              </w:rPr>
              <w:t xml:space="preserve"> t</w:t>
            </w:r>
            <w:r w:rsidRPr="008B79A5">
              <w:rPr>
                <w:b/>
                <w:i/>
                <w:color w:val="000000"/>
                <w:sz w:val="22"/>
                <w:szCs w:val="22"/>
                <w:lang w:val="lv-LV" w:eastAsia="ar-SA"/>
              </w:rPr>
              <w:t>ehniskais vērtējums (maks.27 punkti)</w:t>
            </w:r>
          </w:p>
          <w:p w:rsidR="008B79A5" w:rsidRPr="008B79A5" w:rsidRDefault="008B79A5" w:rsidP="008B79A5">
            <w:pPr>
              <w:suppressAutoHyphens/>
              <w:rPr>
                <w:color w:val="000000"/>
                <w:sz w:val="22"/>
                <w:szCs w:val="22"/>
                <w:lang w:val="lv-LV" w:eastAsia="ar-SA"/>
              </w:rPr>
            </w:pPr>
            <w:r w:rsidRPr="008B79A5">
              <w:rPr>
                <w:i/>
                <w:color w:val="000000"/>
                <w:sz w:val="22"/>
                <w:szCs w:val="22"/>
                <w:lang w:val="lv-LV" w:eastAsia="ar-SA"/>
              </w:rPr>
              <w:t>Punkti tiek piešķirti par attiecīgām prasībām:</w:t>
            </w:r>
          </w:p>
        </w:tc>
        <w:tc>
          <w:tcPr>
            <w:tcW w:w="1350" w:type="dxa"/>
            <w:tcBorders>
              <w:top w:val="single" w:sz="12" w:space="0" w:color="auto"/>
            </w:tcBorders>
            <w:vAlign w:val="center"/>
          </w:tcPr>
          <w:p w:rsidR="008B79A5" w:rsidRPr="008B79A5" w:rsidRDefault="008B79A5" w:rsidP="008B79A5">
            <w:pPr>
              <w:suppressAutoHyphens/>
              <w:jc w:val="center"/>
              <w:rPr>
                <w:color w:val="000000"/>
                <w:sz w:val="22"/>
                <w:szCs w:val="22"/>
                <w:lang w:val="lv-LV" w:eastAsia="ar-SA"/>
              </w:rPr>
            </w:pPr>
          </w:p>
        </w:tc>
      </w:tr>
      <w:tr w:rsidR="008B79A5" w:rsidRPr="008B79A5" w:rsidTr="006772AE">
        <w:trPr>
          <w:jc w:val="center"/>
        </w:trPr>
        <w:tc>
          <w:tcPr>
            <w:tcW w:w="625" w:type="dxa"/>
            <w:tcBorders>
              <w:top w:val="single" w:sz="12" w:space="0" w:color="auto"/>
            </w:tcBorders>
            <w:vAlign w:val="center"/>
          </w:tcPr>
          <w:p w:rsidR="008B79A5" w:rsidRPr="008B79A5" w:rsidRDefault="008B79A5" w:rsidP="008B79A5">
            <w:pPr>
              <w:suppressAutoHyphens/>
              <w:rPr>
                <w:color w:val="000000"/>
                <w:sz w:val="20"/>
                <w:szCs w:val="20"/>
                <w:lang w:val="lv-LV" w:eastAsia="ar-SA"/>
              </w:rPr>
            </w:pPr>
            <w:r w:rsidRPr="008B79A5">
              <w:rPr>
                <w:color w:val="000000"/>
                <w:sz w:val="20"/>
                <w:szCs w:val="20"/>
                <w:lang w:val="lv-LV" w:eastAsia="ar-SA"/>
              </w:rPr>
              <w:t>4.1.</w:t>
            </w:r>
          </w:p>
        </w:tc>
        <w:tc>
          <w:tcPr>
            <w:tcW w:w="8010" w:type="dxa"/>
            <w:tcBorders>
              <w:top w:val="single" w:sz="12" w:space="0" w:color="auto"/>
            </w:tcBorders>
          </w:tcPr>
          <w:p w:rsidR="008B79A5" w:rsidRPr="008B79A5" w:rsidRDefault="008B79A5" w:rsidP="008B79A5">
            <w:pPr>
              <w:suppressAutoHyphens/>
              <w:jc w:val="both"/>
              <w:rPr>
                <w:sz w:val="22"/>
                <w:szCs w:val="22"/>
                <w:lang w:val="lv-LV" w:eastAsia="ar-SA"/>
              </w:rPr>
            </w:pPr>
            <w:r w:rsidRPr="008B79A5">
              <w:rPr>
                <w:sz w:val="22"/>
                <w:szCs w:val="22"/>
                <w:lang w:val="lv-LV" w:eastAsia="ar-SA"/>
              </w:rPr>
              <w:t xml:space="preserve">Ja tiek piedāvāta sistēma kurai </w:t>
            </w:r>
            <w:proofErr w:type="spellStart"/>
            <w:r w:rsidRPr="008B79A5">
              <w:rPr>
                <w:sz w:val="22"/>
                <w:szCs w:val="22"/>
                <w:lang w:val="lv-LV" w:eastAsia="ar-SA"/>
              </w:rPr>
              <w:t>amu</w:t>
            </w:r>
            <w:proofErr w:type="spellEnd"/>
            <w:r w:rsidRPr="008B79A5">
              <w:rPr>
                <w:sz w:val="22"/>
                <w:szCs w:val="22"/>
                <w:lang w:val="lv-LV" w:eastAsia="ar-SA"/>
              </w:rPr>
              <w:t xml:space="preserve"> vērtība (</w:t>
            </w:r>
            <w:r w:rsidRPr="008B79A5">
              <w:rPr>
                <w:color w:val="000000"/>
                <w:sz w:val="22"/>
                <w:szCs w:val="22"/>
                <w:lang w:val="lv-LV" w:eastAsia="ar-SA"/>
              </w:rPr>
              <w:t xml:space="preserve">specifikācijas 1.3.1. punkts) </w:t>
            </w:r>
            <w:r w:rsidRPr="008B79A5">
              <w:rPr>
                <w:sz w:val="22"/>
                <w:szCs w:val="22"/>
                <w:lang w:val="lv-LV" w:eastAsia="ar-SA"/>
              </w:rPr>
              <w:t>ir lielāka, tad tiek piešķirti punkti pēc formulas (maks.2 punkti):</w:t>
            </w:r>
          </w:p>
          <w:p w:rsidR="008B79A5" w:rsidRPr="008B79A5" w:rsidRDefault="008B79A5" w:rsidP="008B79A5">
            <w:pPr>
              <w:suppressAutoHyphens/>
              <w:jc w:val="both"/>
              <w:rPr>
                <w:sz w:val="22"/>
                <w:szCs w:val="22"/>
                <w:lang w:val="lv-LV" w:eastAsia="ar-SA"/>
              </w:rPr>
            </w:pPr>
            <m:oMathPara>
              <m:oMath>
                <m:r>
                  <m:rPr>
                    <m:sty m:val="p"/>
                  </m:rPr>
                  <w:rPr>
                    <w:rFonts w:ascii="Cambria Math" w:hAnsi="Cambria Math"/>
                    <w:sz w:val="22"/>
                    <w:szCs w:val="22"/>
                    <w:lang w:val="lv-LV" w:eastAsia="ar-SA"/>
                  </w:rPr>
                  <m:t>Piešķirti punkti=</m:t>
                </m:r>
                <m:f>
                  <m:fPr>
                    <m:ctrlPr>
                      <w:rPr>
                        <w:rFonts w:ascii="Cambria Math" w:hAnsi="Cambria Math"/>
                        <w:sz w:val="22"/>
                        <w:szCs w:val="22"/>
                        <w:lang w:val="lv-LV" w:eastAsia="ar-SA"/>
                      </w:rPr>
                    </m:ctrlPr>
                  </m:fPr>
                  <m:num>
                    <m:r>
                      <m:rPr>
                        <m:sty m:val="p"/>
                      </m:rPr>
                      <w:rPr>
                        <w:rFonts w:ascii="Cambria Math" w:hAnsi="Cambria Math"/>
                        <w:sz w:val="22"/>
                        <w:szCs w:val="22"/>
                        <w:lang w:val="lv-LV" w:eastAsia="ar-SA"/>
                      </w:rPr>
                      <m:t xml:space="preserve">Pretendenta piedāvātās sistēmas amu vērtība </m:t>
                    </m:r>
                  </m:num>
                  <m:den>
                    <m:r>
                      <m:rPr>
                        <m:sty m:val="p"/>
                      </m:rPr>
                      <w:rPr>
                        <w:rFonts w:ascii="Cambria Math" w:hAnsi="Cambria Math"/>
                        <w:sz w:val="22"/>
                        <w:szCs w:val="22"/>
                        <w:lang w:val="lv-LV" w:eastAsia="ar-SA"/>
                      </w:rPr>
                      <m:t xml:space="preserve">Augstākā piedāvātā amu vērtība </m:t>
                    </m:r>
                  </m:den>
                </m:f>
                <m:r>
                  <m:rPr>
                    <m:sty m:val="p"/>
                  </m:rPr>
                  <w:rPr>
                    <w:rFonts w:ascii="Cambria Math" w:hAnsi="Cambria Math"/>
                    <w:sz w:val="22"/>
                    <w:szCs w:val="22"/>
                    <w:lang w:val="lv-LV" w:eastAsia="ar-SA"/>
                  </w:rPr>
                  <m:t>×2</m:t>
                </m:r>
              </m:oMath>
            </m:oMathPara>
          </w:p>
          <w:p w:rsidR="008B79A5" w:rsidRPr="008B79A5" w:rsidRDefault="008B79A5" w:rsidP="008B79A5">
            <w:pPr>
              <w:suppressAutoHyphens/>
              <w:rPr>
                <w:sz w:val="22"/>
                <w:szCs w:val="22"/>
                <w:lang w:val="lv-LV" w:eastAsia="ar-SA"/>
              </w:rPr>
            </w:pPr>
          </w:p>
        </w:tc>
        <w:tc>
          <w:tcPr>
            <w:tcW w:w="1350" w:type="dxa"/>
            <w:tcBorders>
              <w:top w:val="single" w:sz="12" w:space="0" w:color="auto"/>
            </w:tcBorders>
            <w:vAlign w:val="center"/>
          </w:tcPr>
          <w:p w:rsidR="008B79A5" w:rsidRPr="008B79A5" w:rsidRDefault="008B79A5" w:rsidP="008B79A5">
            <w:pPr>
              <w:suppressAutoHyphens/>
              <w:jc w:val="center"/>
              <w:rPr>
                <w:color w:val="000000"/>
                <w:sz w:val="22"/>
                <w:szCs w:val="22"/>
                <w:lang w:val="lv-LV" w:eastAsia="ar-SA"/>
              </w:rPr>
            </w:pPr>
            <w:r w:rsidRPr="008B79A5">
              <w:rPr>
                <w:color w:val="000000"/>
                <w:sz w:val="22"/>
                <w:szCs w:val="22"/>
                <w:lang w:val="lv-LV" w:eastAsia="ar-SA"/>
              </w:rPr>
              <w:t>2</w:t>
            </w:r>
          </w:p>
        </w:tc>
      </w:tr>
      <w:tr w:rsidR="008B79A5" w:rsidRPr="008B79A5" w:rsidTr="006772AE">
        <w:trPr>
          <w:jc w:val="center"/>
        </w:trPr>
        <w:tc>
          <w:tcPr>
            <w:tcW w:w="625" w:type="dxa"/>
            <w:tcBorders>
              <w:top w:val="single" w:sz="12" w:space="0" w:color="auto"/>
            </w:tcBorders>
            <w:vAlign w:val="center"/>
          </w:tcPr>
          <w:p w:rsidR="008B79A5" w:rsidRPr="008B79A5" w:rsidRDefault="008B79A5" w:rsidP="008B79A5">
            <w:pPr>
              <w:suppressAutoHyphens/>
              <w:rPr>
                <w:color w:val="000000"/>
                <w:sz w:val="20"/>
                <w:szCs w:val="20"/>
                <w:lang w:val="lv-LV" w:eastAsia="ar-SA"/>
              </w:rPr>
            </w:pPr>
            <w:r w:rsidRPr="008B79A5">
              <w:rPr>
                <w:color w:val="000000"/>
                <w:sz w:val="20"/>
                <w:szCs w:val="20"/>
                <w:lang w:val="lv-LV" w:eastAsia="ar-SA"/>
              </w:rPr>
              <w:t>4.2</w:t>
            </w:r>
          </w:p>
        </w:tc>
        <w:tc>
          <w:tcPr>
            <w:tcW w:w="8010" w:type="dxa"/>
            <w:tcBorders>
              <w:top w:val="single" w:sz="12" w:space="0" w:color="auto"/>
            </w:tcBorders>
          </w:tcPr>
          <w:p w:rsidR="008B79A5" w:rsidRPr="008B79A5" w:rsidRDefault="008B79A5" w:rsidP="008B79A5">
            <w:pPr>
              <w:suppressAutoHyphens/>
              <w:rPr>
                <w:color w:val="000000"/>
                <w:sz w:val="22"/>
                <w:szCs w:val="22"/>
                <w:lang w:val="lv-LV" w:eastAsia="ar-SA"/>
              </w:rPr>
            </w:pPr>
            <w:r w:rsidRPr="008B79A5">
              <w:rPr>
                <w:sz w:val="22"/>
                <w:szCs w:val="22"/>
                <w:lang w:val="lv-LV" w:eastAsia="ar-SA"/>
              </w:rPr>
              <w:t xml:space="preserve">Ja tiek piedāvāta sistēma, kas nodrošina papildinājumu līdz pieciem jonu avotiem (vismaz </w:t>
            </w:r>
            <w:proofErr w:type="spellStart"/>
            <w:r w:rsidRPr="008B79A5">
              <w:rPr>
                <w:sz w:val="22"/>
                <w:szCs w:val="22"/>
                <w:lang w:val="lv-LV" w:eastAsia="ar-SA"/>
              </w:rPr>
              <w:t>Bi</w:t>
            </w:r>
            <w:proofErr w:type="spellEnd"/>
            <w:r w:rsidRPr="008B79A5">
              <w:rPr>
                <w:sz w:val="22"/>
                <w:szCs w:val="22"/>
                <w:lang w:val="lv-LV" w:eastAsia="ar-SA"/>
              </w:rPr>
              <w:t xml:space="preserve">, </w:t>
            </w:r>
            <w:proofErr w:type="spellStart"/>
            <w:r w:rsidRPr="008B79A5">
              <w:rPr>
                <w:sz w:val="22"/>
                <w:szCs w:val="22"/>
                <w:lang w:val="lv-LV" w:eastAsia="ar-SA"/>
              </w:rPr>
              <w:t>Cs</w:t>
            </w:r>
            <w:proofErr w:type="spellEnd"/>
            <w:r w:rsidRPr="008B79A5">
              <w:rPr>
                <w:sz w:val="22"/>
                <w:szCs w:val="22"/>
                <w:lang w:val="lv-LV" w:eastAsia="ar-SA"/>
              </w:rPr>
              <w:t>, O</w:t>
            </w:r>
            <w:r w:rsidRPr="008B79A5">
              <w:rPr>
                <w:sz w:val="22"/>
                <w:szCs w:val="22"/>
                <w:vertAlign w:val="subscript"/>
                <w:lang w:val="lv-LV" w:eastAsia="ar-SA"/>
              </w:rPr>
              <w:t>2</w:t>
            </w:r>
            <w:r w:rsidRPr="008B79A5">
              <w:rPr>
                <w:sz w:val="22"/>
                <w:szCs w:val="22"/>
                <w:lang w:val="lv-LV" w:eastAsia="ar-SA"/>
              </w:rPr>
              <w:t xml:space="preserve">, </w:t>
            </w:r>
            <w:proofErr w:type="spellStart"/>
            <w:r w:rsidRPr="008B79A5">
              <w:rPr>
                <w:sz w:val="22"/>
                <w:szCs w:val="22"/>
                <w:lang w:val="lv-LV" w:eastAsia="ar-SA"/>
              </w:rPr>
              <w:t>Ar</w:t>
            </w:r>
            <w:r w:rsidRPr="008B79A5">
              <w:rPr>
                <w:sz w:val="22"/>
                <w:szCs w:val="22"/>
                <w:vertAlign w:val="subscript"/>
                <w:lang w:val="lv-LV" w:eastAsia="ar-SA"/>
              </w:rPr>
              <w:t>n</w:t>
            </w:r>
            <w:proofErr w:type="spellEnd"/>
            <w:r w:rsidRPr="008B79A5">
              <w:rPr>
                <w:sz w:val="22"/>
                <w:szCs w:val="22"/>
                <w:lang w:val="lv-LV" w:eastAsia="ar-SA"/>
              </w:rPr>
              <w:t>, FIB) (</w:t>
            </w:r>
            <w:r w:rsidRPr="008B79A5">
              <w:rPr>
                <w:color w:val="000000"/>
                <w:sz w:val="22"/>
                <w:szCs w:val="22"/>
                <w:lang w:val="lv-LV" w:eastAsia="ar-SA"/>
              </w:rPr>
              <w:t>specifikācijas 1.3.2. punkts)</w:t>
            </w:r>
            <w:r w:rsidRPr="008B79A5">
              <w:rPr>
                <w:sz w:val="22"/>
                <w:szCs w:val="22"/>
                <w:lang w:val="lv-LV" w:eastAsia="ar-SA"/>
              </w:rPr>
              <w:t xml:space="preserve">, iekļaujot gāzu klasteru un fokusēto jonu staru avotu, </w:t>
            </w:r>
            <w:r w:rsidRPr="008B79A5">
              <w:rPr>
                <w:color w:val="000000"/>
                <w:sz w:val="22"/>
                <w:szCs w:val="22"/>
                <w:lang w:val="lv-LV" w:eastAsia="ar-SA"/>
              </w:rPr>
              <w:t>tad tiek piešķirti 2 punkti.</w:t>
            </w:r>
          </w:p>
        </w:tc>
        <w:tc>
          <w:tcPr>
            <w:tcW w:w="1350" w:type="dxa"/>
            <w:tcBorders>
              <w:top w:val="single" w:sz="12" w:space="0" w:color="auto"/>
            </w:tcBorders>
            <w:vAlign w:val="center"/>
          </w:tcPr>
          <w:p w:rsidR="008B79A5" w:rsidRPr="008B79A5" w:rsidRDefault="008B79A5" w:rsidP="008B79A5">
            <w:pPr>
              <w:suppressAutoHyphens/>
              <w:jc w:val="center"/>
              <w:rPr>
                <w:color w:val="000000"/>
                <w:sz w:val="22"/>
                <w:szCs w:val="22"/>
                <w:lang w:val="lv-LV" w:eastAsia="ar-SA"/>
              </w:rPr>
            </w:pPr>
            <w:r w:rsidRPr="008B79A5">
              <w:rPr>
                <w:color w:val="000000"/>
                <w:sz w:val="22"/>
                <w:szCs w:val="22"/>
                <w:lang w:val="lv-LV" w:eastAsia="ar-SA"/>
              </w:rPr>
              <w:t>2</w:t>
            </w:r>
          </w:p>
        </w:tc>
      </w:tr>
      <w:tr w:rsidR="008B79A5" w:rsidRPr="008B79A5" w:rsidTr="006772AE">
        <w:trPr>
          <w:jc w:val="center"/>
        </w:trPr>
        <w:tc>
          <w:tcPr>
            <w:tcW w:w="625" w:type="dxa"/>
            <w:tcBorders>
              <w:top w:val="single" w:sz="12" w:space="0" w:color="auto"/>
            </w:tcBorders>
            <w:vAlign w:val="center"/>
          </w:tcPr>
          <w:p w:rsidR="008B79A5" w:rsidRPr="008B79A5" w:rsidRDefault="008B79A5" w:rsidP="008B79A5">
            <w:pPr>
              <w:suppressAutoHyphens/>
              <w:rPr>
                <w:color w:val="000000"/>
                <w:sz w:val="20"/>
                <w:szCs w:val="20"/>
                <w:lang w:val="lv-LV" w:eastAsia="ar-SA"/>
              </w:rPr>
            </w:pPr>
            <w:r w:rsidRPr="008B79A5">
              <w:rPr>
                <w:color w:val="000000"/>
                <w:sz w:val="20"/>
                <w:szCs w:val="20"/>
                <w:lang w:val="lv-LV" w:eastAsia="ar-SA"/>
              </w:rPr>
              <w:t>4.3.</w:t>
            </w:r>
          </w:p>
        </w:tc>
        <w:tc>
          <w:tcPr>
            <w:tcW w:w="8010" w:type="dxa"/>
            <w:tcBorders>
              <w:top w:val="single" w:sz="12" w:space="0" w:color="auto"/>
            </w:tcBorders>
          </w:tcPr>
          <w:p w:rsidR="008B79A5" w:rsidRPr="008B79A5" w:rsidRDefault="008B79A5" w:rsidP="008B79A5">
            <w:pPr>
              <w:suppressAutoHyphens/>
              <w:jc w:val="both"/>
              <w:rPr>
                <w:sz w:val="22"/>
                <w:szCs w:val="22"/>
                <w:lang w:val="lv-LV" w:eastAsia="ar-SA"/>
              </w:rPr>
            </w:pPr>
            <w:r w:rsidRPr="008B79A5">
              <w:rPr>
                <w:sz w:val="22"/>
                <w:szCs w:val="22"/>
                <w:lang w:val="lv-LV" w:eastAsia="ar-SA"/>
              </w:rPr>
              <w:t xml:space="preserve">Ja tiek piedāvāta sistēma, kurai </w:t>
            </w:r>
            <w:proofErr w:type="spellStart"/>
            <w:r w:rsidRPr="008B79A5">
              <w:rPr>
                <w:sz w:val="22"/>
                <w:szCs w:val="22"/>
                <w:lang w:val="lv-LV" w:eastAsia="ar-SA"/>
              </w:rPr>
              <w:t>amu</w:t>
            </w:r>
            <w:proofErr w:type="spellEnd"/>
            <w:r w:rsidRPr="008B79A5">
              <w:rPr>
                <w:sz w:val="22"/>
                <w:szCs w:val="22"/>
                <w:lang w:val="lv-LV" w:eastAsia="ar-SA"/>
              </w:rPr>
              <w:t xml:space="preserve"> izšķirtspējas vērtība ir lielāka </w:t>
            </w:r>
            <w:r w:rsidRPr="008B79A5">
              <w:rPr>
                <w:color w:val="000000"/>
                <w:sz w:val="22"/>
                <w:szCs w:val="22"/>
                <w:lang w:val="lv-LV" w:eastAsia="ar-SA"/>
              </w:rPr>
              <w:t>(specifikācijas 1.3.3. punkts)</w:t>
            </w:r>
            <w:r w:rsidRPr="008B79A5">
              <w:rPr>
                <w:sz w:val="22"/>
                <w:szCs w:val="22"/>
                <w:lang w:val="lv-LV" w:eastAsia="ar-SA"/>
              </w:rPr>
              <w:t>, tad tiek piešķirti punkti pēc formulas (maks.2 punkti):</w:t>
            </w:r>
          </w:p>
          <w:p w:rsidR="008B79A5" w:rsidRPr="008B79A5" w:rsidRDefault="008B79A5" w:rsidP="008B79A5">
            <w:pPr>
              <w:suppressAutoHyphens/>
              <w:jc w:val="both"/>
              <w:rPr>
                <w:color w:val="000000"/>
                <w:sz w:val="22"/>
                <w:szCs w:val="22"/>
                <w:lang w:val="lv-LV" w:eastAsia="ar-SA"/>
              </w:rPr>
            </w:pPr>
            <m:oMathPara>
              <m:oMath>
                <m:r>
                  <m:rPr>
                    <m:sty m:val="p"/>
                  </m:rPr>
                  <w:rPr>
                    <w:rFonts w:ascii="Cambria Math" w:hAnsi="Cambria Math"/>
                    <w:sz w:val="22"/>
                    <w:szCs w:val="22"/>
                    <w:lang w:val="lv-LV" w:eastAsia="ar-SA"/>
                  </w:rPr>
                  <m:t>Piešķirti punkti=</m:t>
                </m:r>
                <m:f>
                  <m:fPr>
                    <m:ctrlPr>
                      <w:rPr>
                        <w:rFonts w:ascii="Cambria Math" w:hAnsi="Cambria Math"/>
                        <w:sz w:val="22"/>
                        <w:szCs w:val="22"/>
                        <w:lang w:val="lv-LV" w:eastAsia="ar-SA"/>
                      </w:rPr>
                    </m:ctrlPr>
                  </m:fPr>
                  <m:num>
                    <m:r>
                      <m:rPr>
                        <m:sty m:val="p"/>
                      </m:rPr>
                      <w:rPr>
                        <w:rFonts w:ascii="Cambria Math" w:hAnsi="Cambria Math"/>
                        <w:sz w:val="22"/>
                        <w:szCs w:val="22"/>
                        <w:lang w:val="lv-LV" w:eastAsia="ar-SA"/>
                      </w:rPr>
                      <m:t xml:space="preserve">Pretendenta piedāvātās sistēmas amu izšķirtspējas vērtība </m:t>
                    </m:r>
                  </m:num>
                  <m:den>
                    <m:r>
                      <m:rPr>
                        <m:sty m:val="p"/>
                      </m:rPr>
                      <w:rPr>
                        <w:rFonts w:ascii="Cambria Math" w:hAnsi="Cambria Math"/>
                        <w:sz w:val="22"/>
                        <w:szCs w:val="22"/>
                        <w:lang w:val="lv-LV" w:eastAsia="ar-SA"/>
                      </w:rPr>
                      <m:t xml:space="preserve">Augstākā piedāvātā amu </m:t>
                    </m:r>
                    <m:r>
                      <m:rPr>
                        <m:sty m:val="p"/>
                      </m:rPr>
                      <w:rPr>
                        <w:rFonts w:ascii="Cambria Math" w:hAnsi="Cambria Math"/>
                        <w:sz w:val="20"/>
                        <w:szCs w:val="20"/>
                        <w:lang w:eastAsia="ar-SA"/>
                      </w:rPr>
                      <m:t xml:space="preserve">izšķirtspējas </m:t>
                    </m:r>
                    <m:r>
                      <m:rPr>
                        <m:sty m:val="p"/>
                      </m:rPr>
                      <w:rPr>
                        <w:rFonts w:ascii="Cambria Math" w:hAnsi="Cambria Math"/>
                        <w:sz w:val="22"/>
                        <w:szCs w:val="22"/>
                        <w:lang w:val="lv-LV" w:eastAsia="ar-SA"/>
                      </w:rPr>
                      <m:t xml:space="preserve">vērtība </m:t>
                    </m:r>
                  </m:den>
                </m:f>
                <m:r>
                  <m:rPr>
                    <m:sty m:val="p"/>
                  </m:rPr>
                  <w:rPr>
                    <w:rFonts w:ascii="Cambria Math" w:hAnsi="Cambria Math"/>
                    <w:sz w:val="22"/>
                    <w:szCs w:val="22"/>
                    <w:lang w:val="lv-LV" w:eastAsia="ar-SA"/>
                  </w:rPr>
                  <m:t>×2</m:t>
                </m:r>
              </m:oMath>
            </m:oMathPara>
          </w:p>
        </w:tc>
        <w:tc>
          <w:tcPr>
            <w:tcW w:w="1350" w:type="dxa"/>
            <w:tcBorders>
              <w:top w:val="single" w:sz="12" w:space="0" w:color="auto"/>
            </w:tcBorders>
            <w:vAlign w:val="center"/>
          </w:tcPr>
          <w:p w:rsidR="008B79A5" w:rsidRPr="008B79A5" w:rsidRDefault="008B79A5" w:rsidP="008B79A5">
            <w:pPr>
              <w:suppressAutoHyphens/>
              <w:jc w:val="center"/>
              <w:rPr>
                <w:color w:val="000000"/>
                <w:sz w:val="22"/>
                <w:szCs w:val="22"/>
                <w:lang w:val="lv-LV" w:eastAsia="ar-SA"/>
              </w:rPr>
            </w:pPr>
            <w:r w:rsidRPr="008B79A5">
              <w:rPr>
                <w:color w:val="000000"/>
                <w:sz w:val="22"/>
                <w:szCs w:val="22"/>
                <w:lang w:val="lv-LV" w:eastAsia="ar-SA"/>
              </w:rPr>
              <w:t>2</w:t>
            </w:r>
          </w:p>
        </w:tc>
      </w:tr>
      <w:tr w:rsidR="008B79A5" w:rsidRPr="008B79A5" w:rsidTr="006772AE">
        <w:trPr>
          <w:jc w:val="center"/>
        </w:trPr>
        <w:tc>
          <w:tcPr>
            <w:tcW w:w="625" w:type="dxa"/>
            <w:tcBorders>
              <w:top w:val="single" w:sz="12" w:space="0" w:color="auto"/>
            </w:tcBorders>
            <w:vAlign w:val="center"/>
          </w:tcPr>
          <w:p w:rsidR="008B79A5" w:rsidRPr="008B79A5" w:rsidRDefault="008B79A5" w:rsidP="008B79A5">
            <w:pPr>
              <w:suppressAutoHyphens/>
              <w:rPr>
                <w:color w:val="000000"/>
                <w:sz w:val="20"/>
                <w:szCs w:val="20"/>
                <w:lang w:val="lv-LV" w:eastAsia="ar-SA"/>
              </w:rPr>
            </w:pPr>
            <w:r w:rsidRPr="008B79A5">
              <w:rPr>
                <w:color w:val="000000"/>
                <w:sz w:val="20"/>
                <w:szCs w:val="20"/>
                <w:lang w:val="lv-LV" w:eastAsia="ar-SA"/>
              </w:rPr>
              <w:t>4.4</w:t>
            </w:r>
          </w:p>
        </w:tc>
        <w:tc>
          <w:tcPr>
            <w:tcW w:w="8010" w:type="dxa"/>
            <w:tcBorders>
              <w:top w:val="single" w:sz="12" w:space="0" w:color="auto"/>
            </w:tcBorders>
          </w:tcPr>
          <w:p w:rsidR="008B79A5" w:rsidRPr="008B79A5" w:rsidRDefault="008B79A5" w:rsidP="008B79A5">
            <w:pPr>
              <w:suppressAutoHyphens/>
              <w:jc w:val="both"/>
              <w:rPr>
                <w:color w:val="000000"/>
                <w:sz w:val="22"/>
                <w:szCs w:val="22"/>
                <w:lang w:val="lv-LV" w:eastAsia="ar-SA"/>
              </w:rPr>
            </w:pPr>
            <w:r w:rsidRPr="008B79A5">
              <w:rPr>
                <w:color w:val="000000"/>
                <w:sz w:val="22"/>
                <w:szCs w:val="22"/>
                <w:lang w:val="lv-LV" w:eastAsia="ar-SA"/>
              </w:rPr>
              <w:t xml:space="preserve">Ja tiek piedāvāta sistēma ar lielāku DC strāvu, </w:t>
            </w:r>
            <w:r w:rsidRPr="008B79A5">
              <w:rPr>
                <w:sz w:val="22"/>
                <w:szCs w:val="22"/>
                <w:lang w:val="lv-LV" w:eastAsia="ar-SA"/>
              </w:rPr>
              <w:t>(</w:t>
            </w:r>
            <w:r w:rsidRPr="008B79A5">
              <w:rPr>
                <w:color w:val="000000"/>
                <w:sz w:val="22"/>
                <w:szCs w:val="22"/>
                <w:lang w:val="lv-LV" w:eastAsia="ar-SA"/>
              </w:rPr>
              <w:t>specifikācijas 1.3.3. punkts), tad tiek piešķirti punkti pēc formulas (maks.2 punkti):</w:t>
            </w:r>
          </w:p>
          <w:p w:rsidR="008B79A5" w:rsidRPr="008B79A5" w:rsidRDefault="008B79A5" w:rsidP="008B79A5">
            <w:pPr>
              <w:suppressAutoHyphens/>
              <w:jc w:val="both"/>
              <w:rPr>
                <w:color w:val="000000"/>
                <w:sz w:val="22"/>
                <w:szCs w:val="22"/>
                <w:lang w:val="lv-LV" w:eastAsia="ar-SA"/>
              </w:rPr>
            </w:pPr>
            <m:oMathPara>
              <m:oMath>
                <m:r>
                  <m:rPr>
                    <m:sty m:val="p"/>
                  </m:rPr>
                  <w:rPr>
                    <w:rFonts w:ascii="Cambria Math" w:hAnsi="Cambria Math"/>
                    <w:color w:val="000000"/>
                    <w:sz w:val="22"/>
                    <w:szCs w:val="22"/>
                    <w:lang w:val="lv-LV" w:eastAsia="ar-SA"/>
                  </w:rPr>
                  <m:t>Piešķirti punkti=</m:t>
                </m:r>
                <m:f>
                  <m:fPr>
                    <m:ctrlPr>
                      <w:rPr>
                        <w:rFonts w:ascii="Cambria Math" w:hAnsi="Cambria Math"/>
                        <w:color w:val="000000"/>
                        <w:sz w:val="22"/>
                        <w:szCs w:val="22"/>
                        <w:lang w:val="lv-LV" w:eastAsia="ar-SA"/>
                      </w:rPr>
                    </m:ctrlPr>
                  </m:fPr>
                  <m:num>
                    <m:r>
                      <m:rPr>
                        <m:sty m:val="p"/>
                      </m:rPr>
                      <w:rPr>
                        <w:rFonts w:ascii="Cambria Math" w:hAnsi="Cambria Math"/>
                        <w:color w:val="000000"/>
                        <w:sz w:val="22"/>
                        <w:szCs w:val="22"/>
                        <w:lang w:val="lv-LV" w:eastAsia="ar-SA"/>
                      </w:rPr>
                      <m:t>Pretendenta piedāvātās sistēmas DC strāva</m:t>
                    </m:r>
                  </m:num>
                  <m:den>
                    <m:r>
                      <m:rPr>
                        <m:sty m:val="p"/>
                      </m:rPr>
                      <w:rPr>
                        <w:rFonts w:ascii="Cambria Math" w:hAnsi="Cambria Math"/>
                        <w:color w:val="000000"/>
                        <w:sz w:val="22"/>
                        <w:szCs w:val="22"/>
                        <w:lang w:val="lv-LV" w:eastAsia="ar-SA"/>
                      </w:rPr>
                      <m:t>Augstākā piedāvātā DC strāva</m:t>
                    </m:r>
                  </m:den>
                </m:f>
                <m:r>
                  <m:rPr>
                    <m:sty m:val="p"/>
                  </m:rPr>
                  <w:rPr>
                    <w:rFonts w:ascii="Cambria Math" w:hAnsi="Cambria Math"/>
                    <w:color w:val="000000"/>
                    <w:sz w:val="22"/>
                    <w:szCs w:val="22"/>
                    <w:lang w:val="lv-LV" w:eastAsia="ar-SA"/>
                  </w:rPr>
                  <m:t>×2</m:t>
                </m:r>
              </m:oMath>
            </m:oMathPara>
          </w:p>
        </w:tc>
        <w:tc>
          <w:tcPr>
            <w:tcW w:w="1350" w:type="dxa"/>
            <w:tcBorders>
              <w:top w:val="single" w:sz="12" w:space="0" w:color="auto"/>
            </w:tcBorders>
            <w:vAlign w:val="center"/>
          </w:tcPr>
          <w:p w:rsidR="008B79A5" w:rsidRPr="008B79A5" w:rsidRDefault="008B79A5" w:rsidP="008B79A5">
            <w:pPr>
              <w:suppressAutoHyphens/>
              <w:jc w:val="center"/>
              <w:rPr>
                <w:color w:val="000000"/>
                <w:sz w:val="22"/>
                <w:szCs w:val="22"/>
                <w:lang w:val="lv-LV" w:eastAsia="ar-SA"/>
              </w:rPr>
            </w:pPr>
            <w:r w:rsidRPr="008B79A5">
              <w:rPr>
                <w:color w:val="000000"/>
                <w:sz w:val="22"/>
                <w:szCs w:val="22"/>
                <w:lang w:val="lv-LV" w:eastAsia="ar-SA"/>
              </w:rPr>
              <w:t>2</w:t>
            </w:r>
          </w:p>
        </w:tc>
      </w:tr>
      <w:tr w:rsidR="008B79A5" w:rsidRPr="008B79A5" w:rsidTr="006772AE">
        <w:trPr>
          <w:jc w:val="center"/>
        </w:trPr>
        <w:tc>
          <w:tcPr>
            <w:tcW w:w="625" w:type="dxa"/>
            <w:tcBorders>
              <w:top w:val="single" w:sz="12" w:space="0" w:color="auto"/>
            </w:tcBorders>
            <w:vAlign w:val="center"/>
          </w:tcPr>
          <w:p w:rsidR="008B79A5" w:rsidRPr="008B79A5" w:rsidRDefault="008B79A5" w:rsidP="008B79A5">
            <w:pPr>
              <w:suppressAutoHyphens/>
              <w:rPr>
                <w:color w:val="000000"/>
                <w:sz w:val="20"/>
                <w:szCs w:val="20"/>
                <w:lang w:val="lv-LV" w:eastAsia="ar-SA"/>
              </w:rPr>
            </w:pPr>
            <w:r w:rsidRPr="008B79A5">
              <w:rPr>
                <w:color w:val="000000"/>
                <w:sz w:val="20"/>
                <w:szCs w:val="20"/>
                <w:lang w:val="lv-LV" w:eastAsia="ar-SA"/>
              </w:rPr>
              <w:t>4.5</w:t>
            </w:r>
          </w:p>
        </w:tc>
        <w:tc>
          <w:tcPr>
            <w:tcW w:w="8010" w:type="dxa"/>
            <w:tcBorders>
              <w:top w:val="single" w:sz="12" w:space="0" w:color="auto"/>
            </w:tcBorders>
          </w:tcPr>
          <w:p w:rsidR="008B79A5" w:rsidRPr="008B79A5" w:rsidRDefault="008B79A5" w:rsidP="008B79A5">
            <w:pPr>
              <w:suppressAutoHyphens/>
              <w:jc w:val="both"/>
              <w:rPr>
                <w:color w:val="000000"/>
                <w:sz w:val="22"/>
                <w:szCs w:val="22"/>
                <w:lang w:val="lv-LV" w:eastAsia="ar-SA"/>
              </w:rPr>
            </w:pPr>
            <w:r w:rsidRPr="008B79A5">
              <w:rPr>
                <w:color w:val="000000"/>
                <w:sz w:val="22"/>
                <w:szCs w:val="22"/>
                <w:lang w:val="lv-LV" w:eastAsia="ar-SA"/>
              </w:rPr>
              <w:t>Ja tiek piedāvāta sistēma ar lielāku impulsa strāvu (specifikācijas 1.3.3. punkts), tad tiek piešķirti punkti pēc formulas (maks.2 punkti):</w:t>
            </w:r>
          </w:p>
          <w:p w:rsidR="008B79A5" w:rsidRPr="008B79A5" w:rsidRDefault="008B79A5" w:rsidP="008B79A5">
            <w:pPr>
              <w:suppressAutoHyphens/>
              <w:jc w:val="both"/>
              <w:rPr>
                <w:color w:val="000000"/>
                <w:sz w:val="22"/>
                <w:szCs w:val="22"/>
                <w:lang w:val="lv-LV" w:eastAsia="ar-SA"/>
              </w:rPr>
            </w:pPr>
            <m:oMathPara>
              <m:oMath>
                <m:r>
                  <m:rPr>
                    <m:sty m:val="p"/>
                  </m:rPr>
                  <w:rPr>
                    <w:rFonts w:ascii="Cambria Math" w:hAnsi="Cambria Math"/>
                    <w:color w:val="000000"/>
                    <w:sz w:val="22"/>
                    <w:szCs w:val="22"/>
                    <w:lang w:val="lv-LV" w:eastAsia="ar-SA"/>
                  </w:rPr>
                  <m:t>Piešķirti punkti=</m:t>
                </m:r>
                <m:f>
                  <m:fPr>
                    <m:ctrlPr>
                      <w:rPr>
                        <w:rFonts w:ascii="Cambria Math" w:hAnsi="Cambria Math"/>
                        <w:color w:val="000000"/>
                        <w:sz w:val="22"/>
                        <w:szCs w:val="22"/>
                        <w:lang w:val="lv-LV" w:eastAsia="ar-SA"/>
                      </w:rPr>
                    </m:ctrlPr>
                  </m:fPr>
                  <m:num>
                    <m:r>
                      <m:rPr>
                        <m:sty m:val="p"/>
                      </m:rPr>
                      <w:rPr>
                        <w:rFonts w:ascii="Cambria Math" w:hAnsi="Cambria Math"/>
                        <w:color w:val="000000"/>
                        <w:sz w:val="22"/>
                        <w:szCs w:val="22"/>
                        <w:lang w:val="lv-LV" w:eastAsia="ar-SA"/>
                      </w:rPr>
                      <m:t>Pretendenta piedāvātās sistēmas impulsa strāva</m:t>
                    </m:r>
                  </m:num>
                  <m:den>
                    <m:r>
                      <m:rPr>
                        <m:sty m:val="p"/>
                      </m:rPr>
                      <w:rPr>
                        <w:rFonts w:ascii="Cambria Math" w:hAnsi="Cambria Math"/>
                        <w:color w:val="000000"/>
                        <w:sz w:val="22"/>
                        <w:szCs w:val="22"/>
                        <w:lang w:val="lv-LV" w:eastAsia="ar-SA"/>
                      </w:rPr>
                      <m:t>Augstākā piedāvātā impulsa strāva</m:t>
                    </m:r>
                  </m:den>
                </m:f>
                <m:r>
                  <m:rPr>
                    <m:sty m:val="p"/>
                  </m:rPr>
                  <w:rPr>
                    <w:rFonts w:ascii="Cambria Math" w:hAnsi="Cambria Math"/>
                    <w:color w:val="000000"/>
                    <w:sz w:val="22"/>
                    <w:szCs w:val="22"/>
                    <w:lang w:val="lv-LV" w:eastAsia="ar-SA"/>
                  </w:rPr>
                  <m:t>×2</m:t>
                </m:r>
              </m:oMath>
            </m:oMathPara>
          </w:p>
        </w:tc>
        <w:tc>
          <w:tcPr>
            <w:tcW w:w="1350" w:type="dxa"/>
            <w:tcBorders>
              <w:top w:val="single" w:sz="12" w:space="0" w:color="auto"/>
            </w:tcBorders>
            <w:vAlign w:val="center"/>
          </w:tcPr>
          <w:p w:rsidR="008B79A5" w:rsidRPr="008B79A5" w:rsidRDefault="008B79A5" w:rsidP="008B79A5">
            <w:pPr>
              <w:suppressAutoHyphens/>
              <w:jc w:val="center"/>
              <w:rPr>
                <w:color w:val="000000"/>
                <w:sz w:val="22"/>
                <w:szCs w:val="22"/>
                <w:lang w:val="lv-LV" w:eastAsia="ar-SA"/>
              </w:rPr>
            </w:pPr>
            <w:r w:rsidRPr="008B79A5">
              <w:rPr>
                <w:color w:val="000000"/>
                <w:sz w:val="22"/>
                <w:szCs w:val="22"/>
                <w:lang w:val="lv-LV" w:eastAsia="ar-SA"/>
              </w:rPr>
              <w:t>2</w:t>
            </w:r>
          </w:p>
        </w:tc>
      </w:tr>
      <w:tr w:rsidR="008B79A5" w:rsidRPr="008B79A5" w:rsidTr="006772AE">
        <w:trPr>
          <w:jc w:val="center"/>
        </w:trPr>
        <w:tc>
          <w:tcPr>
            <w:tcW w:w="625" w:type="dxa"/>
            <w:tcBorders>
              <w:top w:val="single" w:sz="12" w:space="0" w:color="auto"/>
            </w:tcBorders>
            <w:vAlign w:val="center"/>
          </w:tcPr>
          <w:p w:rsidR="008B79A5" w:rsidRPr="008B79A5" w:rsidRDefault="008B79A5" w:rsidP="008B79A5">
            <w:pPr>
              <w:suppressAutoHyphens/>
              <w:rPr>
                <w:color w:val="000000"/>
                <w:sz w:val="20"/>
                <w:szCs w:val="20"/>
                <w:lang w:val="lv-LV" w:eastAsia="ar-SA"/>
              </w:rPr>
            </w:pPr>
            <w:r w:rsidRPr="008B79A5">
              <w:rPr>
                <w:color w:val="000000"/>
                <w:sz w:val="20"/>
                <w:szCs w:val="20"/>
                <w:lang w:val="lv-LV" w:eastAsia="ar-SA"/>
              </w:rPr>
              <w:t>4.5</w:t>
            </w:r>
          </w:p>
        </w:tc>
        <w:tc>
          <w:tcPr>
            <w:tcW w:w="8010" w:type="dxa"/>
            <w:tcBorders>
              <w:top w:val="single" w:sz="12" w:space="0" w:color="auto"/>
            </w:tcBorders>
          </w:tcPr>
          <w:p w:rsidR="008B79A5" w:rsidRPr="008B79A5" w:rsidRDefault="008B79A5" w:rsidP="008B79A5">
            <w:pPr>
              <w:suppressAutoHyphens/>
              <w:jc w:val="both"/>
              <w:rPr>
                <w:color w:val="000000"/>
                <w:sz w:val="22"/>
                <w:szCs w:val="22"/>
                <w:lang w:val="lv-LV" w:eastAsia="ar-SA"/>
              </w:rPr>
            </w:pPr>
            <w:r w:rsidRPr="008B79A5">
              <w:rPr>
                <w:sz w:val="22"/>
                <w:szCs w:val="22"/>
                <w:lang w:val="lv-LV" w:eastAsia="ar-SA"/>
              </w:rPr>
              <w:t>Ja tiek piedāvāta sistēma, kas nodrošina iespēju mērīt impulsa primāro jonu strāvu (</w:t>
            </w:r>
            <w:r w:rsidRPr="008B79A5">
              <w:rPr>
                <w:color w:val="000000"/>
                <w:sz w:val="22"/>
                <w:szCs w:val="22"/>
                <w:lang w:val="lv-LV" w:eastAsia="ar-SA"/>
              </w:rPr>
              <w:t xml:space="preserve">specifikācijas 1.3.3. punkts), </w:t>
            </w:r>
            <w:r w:rsidRPr="008B79A5">
              <w:rPr>
                <w:sz w:val="22"/>
                <w:szCs w:val="22"/>
                <w:lang w:val="lv-LV" w:eastAsia="ar-SA"/>
              </w:rPr>
              <w:t xml:space="preserve">līdz vismaz 0.05 </w:t>
            </w:r>
            <w:proofErr w:type="spellStart"/>
            <w:r w:rsidRPr="008B79A5">
              <w:rPr>
                <w:sz w:val="22"/>
                <w:szCs w:val="22"/>
                <w:lang w:val="lv-LV" w:eastAsia="ar-SA"/>
              </w:rPr>
              <w:t>pA</w:t>
            </w:r>
            <w:proofErr w:type="spellEnd"/>
            <w:r w:rsidRPr="008B79A5">
              <w:rPr>
                <w:sz w:val="22"/>
                <w:szCs w:val="22"/>
                <w:lang w:val="lv-LV" w:eastAsia="ar-SA"/>
              </w:rPr>
              <w:t xml:space="preserve">, </w:t>
            </w:r>
            <w:r w:rsidRPr="008B79A5">
              <w:rPr>
                <w:color w:val="000000"/>
                <w:sz w:val="22"/>
                <w:szCs w:val="22"/>
                <w:lang w:val="lv-LV" w:eastAsia="ar-SA"/>
              </w:rPr>
              <w:t>tad tiek piešķirti 2 punkti.</w:t>
            </w:r>
          </w:p>
        </w:tc>
        <w:tc>
          <w:tcPr>
            <w:tcW w:w="1350" w:type="dxa"/>
            <w:tcBorders>
              <w:top w:val="single" w:sz="12" w:space="0" w:color="auto"/>
            </w:tcBorders>
            <w:vAlign w:val="center"/>
          </w:tcPr>
          <w:p w:rsidR="008B79A5" w:rsidRPr="008B79A5" w:rsidRDefault="008B79A5" w:rsidP="008B79A5">
            <w:pPr>
              <w:suppressAutoHyphens/>
              <w:jc w:val="center"/>
              <w:rPr>
                <w:color w:val="000000"/>
                <w:sz w:val="22"/>
                <w:szCs w:val="22"/>
                <w:lang w:val="lv-LV" w:eastAsia="ar-SA"/>
              </w:rPr>
            </w:pPr>
            <w:r w:rsidRPr="008B79A5">
              <w:rPr>
                <w:color w:val="000000"/>
                <w:sz w:val="22"/>
                <w:szCs w:val="22"/>
                <w:lang w:val="lv-LV" w:eastAsia="ar-SA"/>
              </w:rPr>
              <w:t>2</w:t>
            </w:r>
          </w:p>
        </w:tc>
      </w:tr>
      <w:tr w:rsidR="008B79A5" w:rsidRPr="008B79A5" w:rsidTr="008B79A5">
        <w:trPr>
          <w:jc w:val="center"/>
        </w:trPr>
        <w:tc>
          <w:tcPr>
            <w:tcW w:w="625" w:type="dxa"/>
            <w:tcBorders>
              <w:top w:val="single" w:sz="12" w:space="0" w:color="auto"/>
            </w:tcBorders>
            <w:shd w:val="clear" w:color="auto" w:fill="F2F2F2"/>
          </w:tcPr>
          <w:p w:rsidR="008B79A5" w:rsidRPr="008B79A5" w:rsidRDefault="008B79A5" w:rsidP="008B79A5">
            <w:pPr>
              <w:suppressAutoHyphens/>
              <w:rPr>
                <w:color w:val="000000"/>
                <w:sz w:val="20"/>
                <w:szCs w:val="20"/>
                <w:lang w:val="lv-LV" w:eastAsia="ar-SA"/>
              </w:rPr>
            </w:pPr>
            <w:r w:rsidRPr="008B79A5">
              <w:rPr>
                <w:color w:val="000000"/>
                <w:sz w:val="20"/>
                <w:szCs w:val="20"/>
                <w:lang w:val="lv-LV" w:eastAsia="ar-SA"/>
              </w:rPr>
              <w:t>4.6</w:t>
            </w:r>
          </w:p>
        </w:tc>
        <w:tc>
          <w:tcPr>
            <w:tcW w:w="8010" w:type="dxa"/>
            <w:tcBorders>
              <w:top w:val="single" w:sz="12" w:space="0" w:color="auto"/>
            </w:tcBorders>
            <w:shd w:val="clear" w:color="auto" w:fill="F2F2F2"/>
          </w:tcPr>
          <w:p w:rsidR="008B79A5" w:rsidRPr="008B79A5" w:rsidRDefault="008B79A5" w:rsidP="008B79A5">
            <w:pPr>
              <w:suppressAutoHyphens/>
              <w:jc w:val="both"/>
              <w:rPr>
                <w:color w:val="000000"/>
                <w:sz w:val="22"/>
                <w:szCs w:val="22"/>
                <w:lang w:val="lv-LV" w:eastAsia="ar-SA"/>
              </w:rPr>
            </w:pPr>
            <w:r w:rsidRPr="008B79A5">
              <w:rPr>
                <w:color w:val="000000"/>
                <w:sz w:val="22"/>
                <w:szCs w:val="22"/>
                <w:lang w:val="lv-LV" w:eastAsia="ar-SA"/>
              </w:rPr>
              <w:t>Ja tiek piedāvāta sistēma ar lielāku datu iegūšanas atkārtošanas ātrumu (specifikācijas 1.3.3. punkts), tad tiek piešķirti punkti pēc formulas (maks.2 punkti):</w:t>
            </w:r>
          </w:p>
          <w:p w:rsidR="008B79A5" w:rsidRPr="008B79A5" w:rsidRDefault="008B79A5" w:rsidP="008B79A5">
            <w:pPr>
              <w:suppressAutoHyphens/>
              <w:jc w:val="both"/>
              <w:rPr>
                <w:color w:val="000000"/>
                <w:sz w:val="22"/>
                <w:szCs w:val="22"/>
                <w:lang w:val="lv-LV" w:eastAsia="ar-SA"/>
              </w:rPr>
            </w:pPr>
            <m:oMathPara>
              <m:oMath>
                <m:r>
                  <m:rPr>
                    <m:sty m:val="p"/>
                  </m:rPr>
                  <w:rPr>
                    <w:rFonts w:ascii="Cambria Math" w:hAnsi="Cambria Math"/>
                    <w:color w:val="000000"/>
                    <w:sz w:val="22"/>
                    <w:szCs w:val="22"/>
                    <w:lang w:val="lv-LV" w:eastAsia="ar-SA"/>
                  </w:rPr>
                  <m:t>Piešķirti punkti=</m:t>
                </m:r>
                <m:f>
                  <m:fPr>
                    <m:ctrlPr>
                      <w:rPr>
                        <w:rFonts w:ascii="Cambria Math" w:hAnsi="Cambria Math"/>
                        <w:color w:val="000000"/>
                        <w:sz w:val="22"/>
                        <w:szCs w:val="22"/>
                        <w:lang w:val="lv-LV" w:eastAsia="ar-SA"/>
                      </w:rPr>
                    </m:ctrlPr>
                  </m:fPr>
                  <m:num>
                    <m:r>
                      <m:rPr>
                        <m:sty m:val="p"/>
                      </m:rPr>
                      <w:rPr>
                        <w:rFonts w:ascii="Cambria Math" w:hAnsi="Cambria Math"/>
                        <w:color w:val="000000"/>
                        <w:sz w:val="22"/>
                        <w:szCs w:val="22"/>
                        <w:lang w:val="lv-LV" w:eastAsia="ar-SA"/>
                      </w:rPr>
                      <m:t>Pretendenta piedāvātās sistēmas atkārtošanas ātrums</m:t>
                    </m:r>
                  </m:num>
                  <m:den>
                    <m:r>
                      <m:rPr>
                        <m:sty m:val="p"/>
                      </m:rPr>
                      <w:rPr>
                        <w:rFonts w:ascii="Cambria Math" w:hAnsi="Cambria Math"/>
                        <w:color w:val="000000"/>
                        <w:sz w:val="22"/>
                        <w:szCs w:val="22"/>
                        <w:lang w:val="lv-LV" w:eastAsia="ar-SA"/>
                      </w:rPr>
                      <m:t>Augstākais piedāvātais atkārtošanas ātrums</m:t>
                    </m:r>
                  </m:den>
                </m:f>
                <m:r>
                  <m:rPr>
                    <m:sty m:val="p"/>
                  </m:rPr>
                  <w:rPr>
                    <w:rFonts w:ascii="Cambria Math" w:hAnsi="Cambria Math"/>
                    <w:color w:val="000000"/>
                    <w:sz w:val="22"/>
                    <w:szCs w:val="22"/>
                    <w:lang w:val="lv-LV" w:eastAsia="ar-SA"/>
                  </w:rPr>
                  <m:t>×2</m:t>
                </m:r>
              </m:oMath>
            </m:oMathPara>
          </w:p>
        </w:tc>
        <w:tc>
          <w:tcPr>
            <w:tcW w:w="1350" w:type="dxa"/>
            <w:tcBorders>
              <w:top w:val="single" w:sz="12" w:space="0" w:color="auto"/>
            </w:tcBorders>
            <w:shd w:val="clear" w:color="auto" w:fill="F2F2F2"/>
          </w:tcPr>
          <w:p w:rsidR="008B79A5" w:rsidRPr="008B79A5" w:rsidRDefault="008B79A5" w:rsidP="008B79A5">
            <w:pPr>
              <w:suppressAutoHyphens/>
              <w:jc w:val="center"/>
              <w:rPr>
                <w:color w:val="000000"/>
                <w:sz w:val="22"/>
                <w:szCs w:val="22"/>
                <w:lang w:val="lv-LV" w:eastAsia="ar-SA"/>
              </w:rPr>
            </w:pPr>
            <w:r w:rsidRPr="008B79A5">
              <w:rPr>
                <w:color w:val="000000"/>
                <w:sz w:val="22"/>
                <w:szCs w:val="22"/>
                <w:lang w:val="lv-LV" w:eastAsia="ar-SA"/>
              </w:rPr>
              <w:t>2</w:t>
            </w:r>
          </w:p>
        </w:tc>
      </w:tr>
      <w:tr w:rsidR="008B79A5" w:rsidRPr="008B79A5" w:rsidTr="006772AE">
        <w:trPr>
          <w:jc w:val="center"/>
        </w:trPr>
        <w:tc>
          <w:tcPr>
            <w:tcW w:w="625" w:type="dxa"/>
            <w:tcBorders>
              <w:top w:val="single" w:sz="12" w:space="0" w:color="auto"/>
            </w:tcBorders>
          </w:tcPr>
          <w:p w:rsidR="008B79A5" w:rsidRPr="008B79A5" w:rsidRDefault="008B79A5" w:rsidP="008B79A5">
            <w:pPr>
              <w:suppressAutoHyphens/>
              <w:rPr>
                <w:color w:val="000000"/>
                <w:sz w:val="20"/>
                <w:szCs w:val="20"/>
                <w:lang w:val="lv-LV" w:eastAsia="ar-SA"/>
              </w:rPr>
            </w:pPr>
            <w:r w:rsidRPr="008B79A5">
              <w:rPr>
                <w:color w:val="000000"/>
                <w:sz w:val="20"/>
                <w:szCs w:val="20"/>
                <w:lang w:val="lv-LV" w:eastAsia="ar-SA"/>
              </w:rPr>
              <w:t>4.7</w:t>
            </w:r>
          </w:p>
        </w:tc>
        <w:tc>
          <w:tcPr>
            <w:tcW w:w="8010" w:type="dxa"/>
            <w:tcBorders>
              <w:top w:val="single" w:sz="12" w:space="0" w:color="auto"/>
            </w:tcBorders>
          </w:tcPr>
          <w:p w:rsidR="008B79A5" w:rsidRPr="008B79A5" w:rsidRDefault="008B79A5" w:rsidP="008B79A5">
            <w:pPr>
              <w:suppressAutoHyphens/>
              <w:rPr>
                <w:color w:val="000000"/>
                <w:sz w:val="22"/>
                <w:szCs w:val="22"/>
                <w:lang w:val="lv-LV" w:eastAsia="ar-SA"/>
              </w:rPr>
            </w:pPr>
            <w:r w:rsidRPr="008B79A5">
              <w:rPr>
                <w:sz w:val="22"/>
                <w:szCs w:val="22"/>
                <w:lang w:val="lv-LV" w:eastAsia="ar-SA"/>
              </w:rPr>
              <w:t>Ja tiek piedāvāta sistēma ar iekļautu aparatūru un programmatūru (</w:t>
            </w:r>
            <w:r w:rsidRPr="008B79A5">
              <w:rPr>
                <w:color w:val="000000"/>
                <w:sz w:val="22"/>
                <w:szCs w:val="22"/>
                <w:lang w:val="lv-LV" w:eastAsia="ar-SA"/>
              </w:rPr>
              <w:t>specifikācijas 1.3.3. punkts),</w:t>
            </w:r>
            <w:r w:rsidRPr="008B79A5">
              <w:rPr>
                <w:sz w:val="22"/>
                <w:szCs w:val="22"/>
                <w:lang w:val="lv-LV" w:eastAsia="ar-SA"/>
              </w:rPr>
              <w:t xml:space="preserve"> kas nodrošina </w:t>
            </w:r>
            <w:r w:rsidRPr="008B79A5">
              <w:rPr>
                <w:i/>
                <w:sz w:val="22"/>
                <w:szCs w:val="22"/>
                <w:lang w:val="lv-LV" w:eastAsia="ar-SA"/>
              </w:rPr>
              <w:t>GSIMS</w:t>
            </w:r>
            <w:r w:rsidRPr="008B79A5">
              <w:rPr>
                <w:sz w:val="22"/>
                <w:szCs w:val="22"/>
                <w:lang w:val="lv-LV" w:eastAsia="ar-SA"/>
              </w:rPr>
              <w:t xml:space="preserve"> (</w:t>
            </w:r>
            <w:proofErr w:type="spellStart"/>
            <w:r w:rsidRPr="008B79A5">
              <w:rPr>
                <w:i/>
                <w:sz w:val="22"/>
                <w:szCs w:val="22"/>
                <w:lang w:val="lv-LV" w:eastAsia="ar-SA"/>
              </w:rPr>
              <w:t>gentle</w:t>
            </w:r>
            <w:proofErr w:type="spellEnd"/>
            <w:r w:rsidRPr="008B79A5">
              <w:rPr>
                <w:sz w:val="22"/>
                <w:szCs w:val="22"/>
                <w:lang w:val="lv-LV" w:eastAsia="ar-SA"/>
              </w:rPr>
              <w:t xml:space="preserve"> SIMS) analīzi, </w:t>
            </w:r>
            <w:r w:rsidRPr="008B79A5">
              <w:rPr>
                <w:color w:val="000000"/>
                <w:sz w:val="22"/>
                <w:szCs w:val="22"/>
                <w:lang w:val="lv-LV" w:eastAsia="ar-SA"/>
              </w:rPr>
              <w:t>tad tiek piešķirti 2 punkti.</w:t>
            </w:r>
          </w:p>
        </w:tc>
        <w:tc>
          <w:tcPr>
            <w:tcW w:w="1350" w:type="dxa"/>
            <w:tcBorders>
              <w:top w:val="single" w:sz="12" w:space="0" w:color="auto"/>
            </w:tcBorders>
          </w:tcPr>
          <w:p w:rsidR="008B79A5" w:rsidRPr="008B79A5" w:rsidRDefault="008B79A5" w:rsidP="008B79A5">
            <w:pPr>
              <w:suppressAutoHyphens/>
              <w:jc w:val="center"/>
              <w:rPr>
                <w:color w:val="000000"/>
                <w:sz w:val="22"/>
                <w:szCs w:val="22"/>
                <w:lang w:val="lv-LV" w:eastAsia="ar-SA"/>
              </w:rPr>
            </w:pPr>
            <w:r w:rsidRPr="008B79A5">
              <w:rPr>
                <w:color w:val="000000"/>
                <w:sz w:val="22"/>
                <w:szCs w:val="22"/>
                <w:lang w:val="lv-LV" w:eastAsia="ar-SA"/>
              </w:rPr>
              <w:t>2</w:t>
            </w:r>
          </w:p>
        </w:tc>
      </w:tr>
      <w:tr w:rsidR="008B79A5" w:rsidRPr="008B79A5" w:rsidTr="006772AE">
        <w:trPr>
          <w:jc w:val="center"/>
        </w:trPr>
        <w:tc>
          <w:tcPr>
            <w:tcW w:w="625" w:type="dxa"/>
            <w:tcBorders>
              <w:top w:val="single" w:sz="12" w:space="0" w:color="auto"/>
            </w:tcBorders>
          </w:tcPr>
          <w:p w:rsidR="008B79A5" w:rsidRPr="008B79A5" w:rsidRDefault="008B79A5" w:rsidP="008B79A5">
            <w:pPr>
              <w:suppressAutoHyphens/>
              <w:rPr>
                <w:color w:val="000000"/>
                <w:sz w:val="20"/>
                <w:szCs w:val="20"/>
                <w:lang w:val="lv-LV" w:eastAsia="ar-SA"/>
              </w:rPr>
            </w:pPr>
            <w:r w:rsidRPr="008B79A5">
              <w:rPr>
                <w:color w:val="000000"/>
                <w:sz w:val="20"/>
                <w:szCs w:val="20"/>
                <w:lang w:val="lv-LV" w:eastAsia="ar-SA"/>
              </w:rPr>
              <w:t>4.8</w:t>
            </w:r>
          </w:p>
        </w:tc>
        <w:tc>
          <w:tcPr>
            <w:tcW w:w="8010" w:type="dxa"/>
            <w:tcBorders>
              <w:top w:val="single" w:sz="12" w:space="0" w:color="auto"/>
            </w:tcBorders>
          </w:tcPr>
          <w:p w:rsidR="008B79A5" w:rsidRPr="008B79A5" w:rsidRDefault="008B79A5" w:rsidP="008B79A5">
            <w:pPr>
              <w:suppressAutoHyphens/>
              <w:jc w:val="both"/>
              <w:rPr>
                <w:color w:val="000000"/>
                <w:sz w:val="22"/>
                <w:szCs w:val="22"/>
                <w:lang w:val="lv-LV" w:eastAsia="ar-SA"/>
              </w:rPr>
            </w:pPr>
            <w:r w:rsidRPr="008B79A5">
              <w:rPr>
                <w:color w:val="000000"/>
                <w:sz w:val="22"/>
                <w:szCs w:val="22"/>
                <w:lang w:val="lv-LV" w:eastAsia="ar-SA"/>
              </w:rPr>
              <w:t xml:space="preserve">Ja tiek piedāvāta sistēma ar lielāku masas izšķirtspēju </w:t>
            </w:r>
            <w:r w:rsidRPr="008B79A5">
              <w:rPr>
                <w:sz w:val="22"/>
                <w:szCs w:val="22"/>
                <w:lang w:val="lv-LV" w:eastAsia="ar-SA"/>
              </w:rPr>
              <w:t>(</w:t>
            </w:r>
            <w:r w:rsidRPr="008B79A5">
              <w:rPr>
                <w:color w:val="000000"/>
                <w:sz w:val="22"/>
                <w:szCs w:val="22"/>
                <w:lang w:val="lv-LV" w:eastAsia="ar-SA"/>
              </w:rPr>
              <w:t xml:space="preserve">specifikācijas 1.3.4. punkts), pie augstām masām (&gt;200 </w:t>
            </w:r>
            <w:proofErr w:type="spellStart"/>
            <w:r w:rsidRPr="008B79A5">
              <w:rPr>
                <w:color w:val="000000"/>
                <w:sz w:val="22"/>
                <w:szCs w:val="22"/>
                <w:lang w:val="lv-LV" w:eastAsia="ar-SA"/>
              </w:rPr>
              <w:t>amu</w:t>
            </w:r>
            <w:proofErr w:type="spellEnd"/>
            <w:r w:rsidRPr="008B79A5">
              <w:rPr>
                <w:color w:val="000000"/>
                <w:sz w:val="22"/>
                <w:szCs w:val="22"/>
                <w:lang w:val="lv-LV" w:eastAsia="ar-SA"/>
              </w:rPr>
              <w:t>), tad tiek piešķirti punkti pēc formulas (maks.3 punkti):</w:t>
            </w:r>
          </w:p>
          <w:p w:rsidR="008B79A5" w:rsidRPr="008B79A5" w:rsidRDefault="008B79A5" w:rsidP="008B79A5">
            <w:pPr>
              <w:suppressAutoHyphens/>
              <w:jc w:val="both"/>
              <w:rPr>
                <w:color w:val="000000"/>
                <w:sz w:val="22"/>
                <w:szCs w:val="22"/>
                <w:lang w:val="lv-LV" w:eastAsia="ar-SA"/>
              </w:rPr>
            </w:pPr>
            <m:oMathPara>
              <m:oMath>
                <m:r>
                  <m:rPr>
                    <m:sty m:val="p"/>
                  </m:rPr>
                  <w:rPr>
                    <w:rFonts w:ascii="Cambria Math" w:hAnsi="Cambria Math"/>
                    <w:color w:val="000000"/>
                    <w:sz w:val="22"/>
                    <w:szCs w:val="22"/>
                    <w:lang w:val="lv-LV" w:eastAsia="ar-SA"/>
                  </w:rPr>
                  <m:t>Piešķirti punkti=</m:t>
                </m:r>
                <m:f>
                  <m:fPr>
                    <m:ctrlPr>
                      <w:rPr>
                        <w:rFonts w:ascii="Cambria Math" w:hAnsi="Cambria Math"/>
                        <w:color w:val="000000"/>
                        <w:sz w:val="22"/>
                        <w:szCs w:val="22"/>
                        <w:lang w:val="lv-LV" w:eastAsia="ar-SA"/>
                      </w:rPr>
                    </m:ctrlPr>
                  </m:fPr>
                  <m:num>
                    <m:r>
                      <m:rPr>
                        <m:sty m:val="p"/>
                      </m:rPr>
                      <w:rPr>
                        <w:rFonts w:ascii="Cambria Math" w:hAnsi="Cambria Math"/>
                        <w:color w:val="000000"/>
                        <w:sz w:val="22"/>
                        <w:szCs w:val="22"/>
                        <w:lang w:val="lv-LV" w:eastAsia="ar-SA"/>
                      </w:rPr>
                      <m:t>Pretendenta piedāvātās sistēmas izšķirtspēja</m:t>
                    </m:r>
                  </m:num>
                  <m:den>
                    <m:r>
                      <m:rPr>
                        <m:sty m:val="p"/>
                      </m:rPr>
                      <w:rPr>
                        <w:rFonts w:ascii="Cambria Math" w:hAnsi="Cambria Math"/>
                        <w:color w:val="000000"/>
                        <w:sz w:val="22"/>
                        <w:szCs w:val="22"/>
                        <w:lang w:val="lv-LV" w:eastAsia="ar-SA"/>
                      </w:rPr>
                      <m:t>Augstākā piedāvātā izšķirtspēja</m:t>
                    </m:r>
                  </m:den>
                </m:f>
                <m:r>
                  <m:rPr>
                    <m:sty m:val="p"/>
                  </m:rPr>
                  <w:rPr>
                    <w:rFonts w:ascii="Cambria Math" w:hAnsi="Cambria Math"/>
                    <w:color w:val="000000"/>
                    <w:sz w:val="22"/>
                    <w:szCs w:val="22"/>
                    <w:lang w:val="lv-LV" w:eastAsia="ar-SA"/>
                  </w:rPr>
                  <m:t>×3</m:t>
                </m:r>
              </m:oMath>
            </m:oMathPara>
          </w:p>
        </w:tc>
        <w:tc>
          <w:tcPr>
            <w:tcW w:w="1350" w:type="dxa"/>
            <w:tcBorders>
              <w:top w:val="single" w:sz="12" w:space="0" w:color="auto"/>
            </w:tcBorders>
          </w:tcPr>
          <w:p w:rsidR="008B79A5" w:rsidRPr="008B79A5" w:rsidRDefault="008B79A5" w:rsidP="008B79A5">
            <w:pPr>
              <w:suppressAutoHyphens/>
              <w:jc w:val="center"/>
              <w:rPr>
                <w:color w:val="000000"/>
                <w:sz w:val="22"/>
                <w:szCs w:val="22"/>
                <w:lang w:val="lv-LV" w:eastAsia="ar-SA"/>
              </w:rPr>
            </w:pPr>
            <w:r w:rsidRPr="008B79A5">
              <w:rPr>
                <w:color w:val="000000"/>
                <w:sz w:val="22"/>
                <w:szCs w:val="22"/>
                <w:lang w:val="lv-LV" w:eastAsia="ar-SA"/>
              </w:rPr>
              <w:t>3</w:t>
            </w:r>
          </w:p>
        </w:tc>
      </w:tr>
      <w:tr w:rsidR="008B79A5" w:rsidRPr="008B79A5" w:rsidTr="006772AE">
        <w:trPr>
          <w:jc w:val="center"/>
        </w:trPr>
        <w:tc>
          <w:tcPr>
            <w:tcW w:w="625" w:type="dxa"/>
            <w:tcBorders>
              <w:top w:val="single" w:sz="12" w:space="0" w:color="auto"/>
            </w:tcBorders>
          </w:tcPr>
          <w:p w:rsidR="008B79A5" w:rsidRPr="008B79A5" w:rsidRDefault="008B79A5" w:rsidP="008B79A5">
            <w:pPr>
              <w:suppressAutoHyphens/>
              <w:rPr>
                <w:color w:val="000000"/>
                <w:sz w:val="20"/>
                <w:szCs w:val="20"/>
                <w:lang w:val="lv-LV" w:eastAsia="ar-SA"/>
              </w:rPr>
            </w:pPr>
            <w:r w:rsidRPr="008B79A5">
              <w:rPr>
                <w:color w:val="000000"/>
                <w:sz w:val="20"/>
                <w:szCs w:val="20"/>
                <w:lang w:val="lv-LV" w:eastAsia="ar-SA"/>
              </w:rPr>
              <w:t>4.9</w:t>
            </w:r>
          </w:p>
        </w:tc>
        <w:tc>
          <w:tcPr>
            <w:tcW w:w="8010" w:type="dxa"/>
            <w:tcBorders>
              <w:top w:val="single" w:sz="12" w:space="0" w:color="auto"/>
            </w:tcBorders>
          </w:tcPr>
          <w:p w:rsidR="008B79A5" w:rsidRPr="008B79A5" w:rsidRDefault="008B79A5" w:rsidP="008B79A5">
            <w:pPr>
              <w:suppressAutoHyphens/>
              <w:jc w:val="both"/>
              <w:rPr>
                <w:color w:val="000000"/>
                <w:sz w:val="22"/>
                <w:szCs w:val="22"/>
                <w:lang w:val="lv-LV" w:eastAsia="ar-SA"/>
              </w:rPr>
            </w:pPr>
            <w:r w:rsidRPr="008B79A5">
              <w:rPr>
                <w:sz w:val="22"/>
                <w:szCs w:val="22"/>
                <w:lang w:val="lv-LV" w:eastAsia="ar-SA"/>
              </w:rPr>
              <w:t>Ja SIMS modulim tiek piedāvāta sistēma ar pilnīgi automatizētu gāzes padošanas (</w:t>
            </w:r>
            <w:proofErr w:type="spellStart"/>
            <w:r w:rsidRPr="008B79A5">
              <w:rPr>
                <w:sz w:val="22"/>
                <w:szCs w:val="22"/>
                <w:lang w:val="lv-LV" w:eastAsia="ar-SA"/>
              </w:rPr>
              <w:t>flooding</w:t>
            </w:r>
            <w:proofErr w:type="spellEnd"/>
            <w:r w:rsidRPr="008B79A5">
              <w:rPr>
                <w:sz w:val="22"/>
                <w:szCs w:val="22"/>
                <w:lang w:val="lv-LV" w:eastAsia="ar-SA"/>
              </w:rPr>
              <w:t>) sistēmu ar pārslēgšanos starp padošanas gāzēm (vismaz Ar, O</w:t>
            </w:r>
            <w:r w:rsidRPr="008B79A5">
              <w:rPr>
                <w:sz w:val="22"/>
                <w:szCs w:val="22"/>
                <w:vertAlign w:val="subscript"/>
                <w:lang w:val="lv-LV" w:eastAsia="ar-SA"/>
              </w:rPr>
              <w:t>2</w:t>
            </w:r>
            <w:r w:rsidRPr="008B79A5">
              <w:rPr>
                <w:sz w:val="22"/>
                <w:szCs w:val="22"/>
                <w:lang w:val="lv-LV" w:eastAsia="ar-SA"/>
              </w:rPr>
              <w:t xml:space="preserve">, </w:t>
            </w:r>
            <w:proofErr w:type="spellStart"/>
            <w:r w:rsidRPr="008B79A5">
              <w:rPr>
                <w:sz w:val="22"/>
                <w:szCs w:val="22"/>
                <w:lang w:val="lv-LV" w:eastAsia="ar-SA"/>
              </w:rPr>
              <w:t>Xe</w:t>
            </w:r>
            <w:proofErr w:type="spellEnd"/>
            <w:r w:rsidRPr="008B79A5">
              <w:rPr>
                <w:sz w:val="22"/>
                <w:szCs w:val="22"/>
                <w:lang w:val="lv-LV" w:eastAsia="ar-SA"/>
              </w:rPr>
              <w:t>), tad tiek piešķirti 2 punkti.</w:t>
            </w:r>
          </w:p>
        </w:tc>
        <w:tc>
          <w:tcPr>
            <w:tcW w:w="1350" w:type="dxa"/>
            <w:tcBorders>
              <w:top w:val="single" w:sz="12" w:space="0" w:color="auto"/>
            </w:tcBorders>
          </w:tcPr>
          <w:p w:rsidR="008B79A5" w:rsidRPr="008B79A5" w:rsidRDefault="008B79A5" w:rsidP="008B79A5">
            <w:pPr>
              <w:suppressAutoHyphens/>
              <w:jc w:val="center"/>
              <w:rPr>
                <w:color w:val="000000"/>
                <w:sz w:val="22"/>
                <w:szCs w:val="22"/>
                <w:lang w:val="lv-LV" w:eastAsia="ar-SA"/>
              </w:rPr>
            </w:pPr>
            <w:r w:rsidRPr="008B79A5">
              <w:rPr>
                <w:color w:val="000000"/>
                <w:sz w:val="22"/>
                <w:szCs w:val="22"/>
                <w:lang w:val="lv-LV" w:eastAsia="ar-SA"/>
              </w:rPr>
              <w:t>2</w:t>
            </w:r>
          </w:p>
        </w:tc>
      </w:tr>
      <w:tr w:rsidR="008B79A5" w:rsidRPr="008B79A5" w:rsidTr="006772AE">
        <w:trPr>
          <w:jc w:val="center"/>
        </w:trPr>
        <w:tc>
          <w:tcPr>
            <w:tcW w:w="625" w:type="dxa"/>
            <w:tcBorders>
              <w:top w:val="single" w:sz="12" w:space="0" w:color="auto"/>
            </w:tcBorders>
          </w:tcPr>
          <w:p w:rsidR="008B79A5" w:rsidRPr="008B79A5" w:rsidRDefault="008B79A5" w:rsidP="008B79A5">
            <w:pPr>
              <w:suppressAutoHyphens/>
              <w:rPr>
                <w:lang w:val="lv-LV" w:eastAsia="ar-SA"/>
              </w:rPr>
            </w:pPr>
            <w:r w:rsidRPr="008B79A5">
              <w:rPr>
                <w:color w:val="000000"/>
                <w:sz w:val="20"/>
                <w:szCs w:val="20"/>
                <w:lang w:val="lv-LV" w:eastAsia="ar-SA"/>
              </w:rPr>
              <w:t>4.10</w:t>
            </w:r>
          </w:p>
        </w:tc>
        <w:tc>
          <w:tcPr>
            <w:tcW w:w="8010" w:type="dxa"/>
            <w:tcBorders>
              <w:top w:val="single" w:sz="12" w:space="0" w:color="auto"/>
            </w:tcBorders>
          </w:tcPr>
          <w:p w:rsidR="008B79A5" w:rsidRPr="008B79A5" w:rsidRDefault="008B79A5" w:rsidP="008B79A5">
            <w:pPr>
              <w:suppressAutoHyphens/>
              <w:jc w:val="both"/>
              <w:rPr>
                <w:sz w:val="22"/>
                <w:szCs w:val="22"/>
                <w:lang w:val="lv-LV" w:eastAsia="ar-SA"/>
              </w:rPr>
            </w:pPr>
            <w:r w:rsidRPr="008B79A5">
              <w:rPr>
                <w:sz w:val="22"/>
                <w:szCs w:val="22"/>
                <w:lang w:val="lv-LV" w:eastAsia="ar-SA"/>
              </w:rPr>
              <w:t>Ja tiek piedāvāta sistēma, kas nodrošina nākotnes papildinājumu (</w:t>
            </w:r>
            <w:r w:rsidRPr="008B79A5">
              <w:rPr>
                <w:color w:val="000000"/>
                <w:sz w:val="22"/>
                <w:szCs w:val="22"/>
                <w:lang w:val="lv-LV" w:eastAsia="ar-SA"/>
              </w:rPr>
              <w:t xml:space="preserve">specifikācijas 1.3.13. punkts), </w:t>
            </w:r>
            <w:r w:rsidRPr="008B79A5">
              <w:rPr>
                <w:sz w:val="22"/>
                <w:szCs w:val="22"/>
                <w:lang w:val="lv-LV" w:eastAsia="ar-SA"/>
              </w:rPr>
              <w:t>ar duāla avota dziļuma profilēšanu ar detektēšanas limitu vismaz 5·10</w:t>
            </w:r>
            <w:r w:rsidRPr="008B79A5">
              <w:rPr>
                <w:sz w:val="22"/>
                <w:szCs w:val="22"/>
                <w:vertAlign w:val="superscript"/>
                <w:lang w:val="lv-LV" w:eastAsia="ar-SA"/>
              </w:rPr>
              <w:t>15</w:t>
            </w:r>
            <w:r w:rsidRPr="008B79A5">
              <w:rPr>
                <w:sz w:val="22"/>
                <w:szCs w:val="22"/>
                <w:lang w:val="lv-LV" w:eastAsia="ar-SA"/>
              </w:rPr>
              <w:t xml:space="preserve"> atomi/cm</w:t>
            </w:r>
            <w:r w:rsidRPr="008B79A5">
              <w:rPr>
                <w:sz w:val="22"/>
                <w:szCs w:val="22"/>
                <w:vertAlign w:val="superscript"/>
                <w:lang w:val="lv-LV" w:eastAsia="ar-SA"/>
              </w:rPr>
              <w:t xml:space="preserve">3 </w:t>
            </w:r>
            <w:r w:rsidRPr="008B79A5">
              <w:rPr>
                <w:sz w:val="22"/>
                <w:szCs w:val="22"/>
                <w:lang w:val="lv-LV" w:eastAsia="ar-SA"/>
              </w:rPr>
              <w:t xml:space="preserve">(kas tiek demonstrēts uz Pasūtītāja paraugiem (demonstrācijas protokola kopija tiek pievienota iepirkuma dokumentiem)), </w:t>
            </w:r>
            <w:r w:rsidRPr="008B79A5">
              <w:rPr>
                <w:color w:val="000000"/>
                <w:sz w:val="22"/>
                <w:szCs w:val="22"/>
                <w:lang w:val="lv-LV" w:eastAsia="ar-SA"/>
              </w:rPr>
              <w:t>tad tiek piešķirti 6 punkti.</w:t>
            </w:r>
          </w:p>
        </w:tc>
        <w:tc>
          <w:tcPr>
            <w:tcW w:w="1350" w:type="dxa"/>
            <w:tcBorders>
              <w:top w:val="single" w:sz="12" w:space="0" w:color="auto"/>
            </w:tcBorders>
          </w:tcPr>
          <w:p w:rsidR="008B79A5" w:rsidRPr="008B79A5" w:rsidRDefault="008B79A5" w:rsidP="008B79A5">
            <w:pPr>
              <w:suppressAutoHyphens/>
              <w:jc w:val="center"/>
              <w:rPr>
                <w:color w:val="000000"/>
                <w:sz w:val="22"/>
                <w:szCs w:val="22"/>
                <w:lang w:val="lv-LV" w:eastAsia="ar-SA"/>
              </w:rPr>
            </w:pPr>
            <w:r w:rsidRPr="008B79A5">
              <w:rPr>
                <w:color w:val="000000"/>
                <w:sz w:val="22"/>
                <w:szCs w:val="22"/>
                <w:lang w:val="lv-LV" w:eastAsia="ar-SA"/>
              </w:rPr>
              <w:t>6</w:t>
            </w:r>
          </w:p>
        </w:tc>
      </w:tr>
      <w:tr w:rsidR="008B79A5" w:rsidRPr="008B79A5" w:rsidTr="006772AE">
        <w:trPr>
          <w:jc w:val="center"/>
        </w:trPr>
        <w:tc>
          <w:tcPr>
            <w:tcW w:w="625" w:type="dxa"/>
            <w:tcBorders>
              <w:top w:val="single" w:sz="12" w:space="0" w:color="auto"/>
              <w:bottom w:val="single" w:sz="12" w:space="0" w:color="auto"/>
            </w:tcBorders>
          </w:tcPr>
          <w:p w:rsidR="008B79A5" w:rsidRPr="008B79A5" w:rsidRDefault="008B79A5" w:rsidP="008B79A5">
            <w:pPr>
              <w:suppressAutoHyphens/>
              <w:rPr>
                <w:b/>
                <w:color w:val="000000"/>
                <w:sz w:val="20"/>
                <w:szCs w:val="20"/>
                <w:lang w:val="lv-LV" w:eastAsia="ar-SA"/>
              </w:rPr>
            </w:pPr>
          </w:p>
        </w:tc>
        <w:tc>
          <w:tcPr>
            <w:tcW w:w="8010" w:type="dxa"/>
            <w:tcBorders>
              <w:top w:val="single" w:sz="12" w:space="0" w:color="auto"/>
              <w:bottom w:val="single" w:sz="12" w:space="0" w:color="auto"/>
            </w:tcBorders>
          </w:tcPr>
          <w:p w:rsidR="008B79A5" w:rsidRPr="008B79A5" w:rsidRDefault="008B79A5" w:rsidP="008B79A5">
            <w:pPr>
              <w:suppressAutoHyphens/>
              <w:jc w:val="right"/>
              <w:rPr>
                <w:b/>
                <w:color w:val="000000"/>
                <w:sz w:val="22"/>
                <w:szCs w:val="22"/>
                <w:lang w:val="lv-LV" w:eastAsia="ar-SA"/>
              </w:rPr>
            </w:pPr>
            <w:r w:rsidRPr="008B79A5">
              <w:rPr>
                <w:b/>
                <w:color w:val="000000"/>
                <w:sz w:val="22"/>
                <w:szCs w:val="22"/>
                <w:lang w:val="lv-LV" w:eastAsia="ar-SA"/>
              </w:rPr>
              <w:t>KOPĀ:</w:t>
            </w:r>
          </w:p>
        </w:tc>
        <w:tc>
          <w:tcPr>
            <w:tcW w:w="1350" w:type="dxa"/>
            <w:tcBorders>
              <w:top w:val="single" w:sz="12" w:space="0" w:color="auto"/>
              <w:bottom w:val="single" w:sz="12" w:space="0" w:color="auto"/>
            </w:tcBorders>
          </w:tcPr>
          <w:p w:rsidR="008B79A5" w:rsidRPr="008B79A5" w:rsidRDefault="008B79A5" w:rsidP="008B79A5">
            <w:pPr>
              <w:suppressAutoHyphens/>
              <w:jc w:val="center"/>
              <w:rPr>
                <w:b/>
                <w:color w:val="000000"/>
                <w:sz w:val="22"/>
                <w:szCs w:val="22"/>
                <w:lang w:val="lv-LV" w:eastAsia="ar-SA"/>
              </w:rPr>
            </w:pPr>
            <w:r w:rsidRPr="008B79A5">
              <w:rPr>
                <w:b/>
                <w:color w:val="000000"/>
                <w:sz w:val="22"/>
                <w:szCs w:val="22"/>
                <w:lang w:val="lv-LV" w:eastAsia="ar-SA"/>
              </w:rPr>
              <w:t>100</w:t>
            </w:r>
          </w:p>
        </w:tc>
      </w:tr>
    </w:tbl>
    <w:p w:rsidR="001743BB" w:rsidRPr="002D69FC" w:rsidRDefault="00657E26" w:rsidP="00042650">
      <w:pPr>
        <w:numPr>
          <w:ilvl w:val="0"/>
          <w:numId w:val="2"/>
        </w:numPr>
        <w:spacing w:before="120"/>
        <w:ind w:left="284" w:hanging="284"/>
        <w:jc w:val="both"/>
        <w:rPr>
          <w:sz w:val="22"/>
          <w:szCs w:val="22"/>
          <w:lang w:val="lv-LV"/>
        </w:rPr>
      </w:pPr>
      <w:r>
        <w:rPr>
          <w:b/>
          <w:sz w:val="22"/>
          <w:szCs w:val="22"/>
          <w:lang w:val="lv-LV"/>
        </w:rPr>
        <w:t xml:space="preserve"> </w:t>
      </w:r>
      <w:r w:rsidR="001743BB" w:rsidRPr="001743BB">
        <w:rPr>
          <w:b/>
          <w:sz w:val="22"/>
          <w:szCs w:val="22"/>
          <w:lang w:val="lv-LV"/>
        </w:rPr>
        <w:t xml:space="preserve">Piedāvājumu iesniegšanas vieta un termiņš: </w:t>
      </w:r>
      <w:r w:rsidR="00E13A2B">
        <w:rPr>
          <w:sz w:val="22"/>
          <w:szCs w:val="22"/>
          <w:lang w:val="lv-LV"/>
        </w:rPr>
        <w:t xml:space="preserve">Piedāvājumi jāiesniedz līdz </w:t>
      </w:r>
      <w:r w:rsidRPr="002D69FC">
        <w:rPr>
          <w:sz w:val="22"/>
          <w:szCs w:val="22"/>
          <w:lang w:val="lv-LV"/>
        </w:rPr>
        <w:t xml:space="preserve">2018.gada </w:t>
      </w:r>
      <w:r w:rsidR="008B79A5">
        <w:rPr>
          <w:sz w:val="22"/>
          <w:szCs w:val="22"/>
          <w:lang w:val="lv-LV"/>
        </w:rPr>
        <w:t>6.novembrim</w:t>
      </w:r>
      <w:r w:rsidRPr="002D69FC">
        <w:rPr>
          <w:sz w:val="22"/>
          <w:szCs w:val="22"/>
          <w:lang w:val="lv-LV"/>
        </w:rPr>
        <w:t>, plkst.10.00,</w:t>
      </w:r>
      <w:r w:rsidR="00C9727A" w:rsidRPr="002D69FC">
        <w:rPr>
          <w:sz w:val="22"/>
          <w:szCs w:val="22"/>
          <w:lang w:val="lv-LV"/>
        </w:rPr>
        <w:t xml:space="preserve">  Elektronisko iepirkumu sistēmā.</w:t>
      </w:r>
      <w:r w:rsidR="001743BB" w:rsidRPr="002D69FC">
        <w:rPr>
          <w:sz w:val="22"/>
          <w:szCs w:val="22"/>
          <w:lang w:val="lv-LV"/>
        </w:rPr>
        <w:t xml:space="preserve"> </w:t>
      </w:r>
    </w:p>
    <w:p w:rsidR="00657E26" w:rsidRPr="002D69FC" w:rsidRDefault="00657E26" w:rsidP="00C44F73">
      <w:pPr>
        <w:numPr>
          <w:ilvl w:val="0"/>
          <w:numId w:val="2"/>
        </w:numPr>
        <w:spacing w:before="120"/>
        <w:ind w:left="284" w:hanging="284"/>
        <w:jc w:val="both"/>
        <w:rPr>
          <w:bCs/>
          <w:sz w:val="22"/>
          <w:szCs w:val="22"/>
          <w:lang w:val="lv-LV"/>
        </w:rPr>
      </w:pPr>
      <w:r>
        <w:rPr>
          <w:b/>
          <w:sz w:val="22"/>
          <w:szCs w:val="22"/>
          <w:lang w:val="lv-LV"/>
        </w:rPr>
        <w:t xml:space="preserve"> </w:t>
      </w:r>
      <w:r w:rsidR="001743BB" w:rsidRPr="00657E26">
        <w:rPr>
          <w:b/>
          <w:sz w:val="22"/>
          <w:szCs w:val="22"/>
          <w:lang w:val="lv-LV"/>
        </w:rPr>
        <w:t xml:space="preserve">Piedāvājumu atvēršanas vieta, datums un laiks: </w:t>
      </w:r>
      <w:r w:rsidRPr="00657E26">
        <w:rPr>
          <w:sz w:val="22"/>
          <w:szCs w:val="22"/>
          <w:lang w:val="lv-LV"/>
        </w:rPr>
        <w:t>Piedāvājumus atvēra</w:t>
      </w:r>
      <w:r w:rsidR="001743BB" w:rsidRPr="00657E26">
        <w:rPr>
          <w:sz w:val="22"/>
          <w:szCs w:val="22"/>
          <w:lang w:val="lv-LV"/>
        </w:rPr>
        <w:t xml:space="preserve"> </w:t>
      </w:r>
      <w:r w:rsidR="00C9727A" w:rsidRPr="00657E26">
        <w:rPr>
          <w:sz w:val="22"/>
          <w:szCs w:val="22"/>
          <w:lang w:val="lv-LV"/>
        </w:rPr>
        <w:t xml:space="preserve">Elektronisko iepirkumu sistēmā </w:t>
      </w:r>
      <w:r w:rsidRPr="002D69FC">
        <w:rPr>
          <w:sz w:val="22"/>
          <w:szCs w:val="22"/>
          <w:lang w:val="lv-LV"/>
        </w:rPr>
        <w:t xml:space="preserve">2018.gada </w:t>
      </w:r>
      <w:r w:rsidR="008B79A5">
        <w:rPr>
          <w:sz w:val="22"/>
          <w:szCs w:val="22"/>
          <w:lang w:val="lv-LV"/>
        </w:rPr>
        <w:t>6.novembrī</w:t>
      </w:r>
      <w:r w:rsidR="00AD7605" w:rsidRPr="002D69FC">
        <w:rPr>
          <w:sz w:val="22"/>
          <w:szCs w:val="22"/>
          <w:lang w:val="lv-LV"/>
        </w:rPr>
        <w:t>, plkst. 10:00.</w:t>
      </w:r>
      <w:r w:rsidR="001743BB" w:rsidRPr="002D69FC">
        <w:rPr>
          <w:sz w:val="22"/>
          <w:szCs w:val="22"/>
          <w:lang w:val="lv-LV"/>
        </w:rPr>
        <w:t xml:space="preserve"> </w:t>
      </w:r>
    </w:p>
    <w:p w:rsidR="001743BB" w:rsidRPr="00657E26" w:rsidRDefault="00657E26" w:rsidP="00C44F73">
      <w:pPr>
        <w:numPr>
          <w:ilvl w:val="0"/>
          <w:numId w:val="2"/>
        </w:numPr>
        <w:spacing w:before="120"/>
        <w:ind w:left="284" w:hanging="284"/>
        <w:jc w:val="both"/>
        <w:rPr>
          <w:bCs/>
          <w:sz w:val="22"/>
          <w:szCs w:val="22"/>
          <w:lang w:val="lv-LV"/>
        </w:rPr>
      </w:pPr>
      <w:r>
        <w:rPr>
          <w:b/>
          <w:sz w:val="22"/>
          <w:szCs w:val="22"/>
          <w:lang w:val="lv-LV"/>
        </w:rPr>
        <w:lastRenderedPageBreak/>
        <w:t xml:space="preserve"> </w:t>
      </w:r>
      <w:r w:rsidR="001743BB" w:rsidRPr="00657E26">
        <w:rPr>
          <w:b/>
          <w:sz w:val="22"/>
          <w:szCs w:val="22"/>
          <w:lang w:val="lv-LV"/>
        </w:rPr>
        <w:t>Saņemtie pieprasījumi izskaidrot iepirkuma procedūras nolikumu, sniegtās atbildes, kā arī norādes par to, ka visi pretendenti ir informēti par jautājumiem un atbildēm:</w:t>
      </w:r>
      <w:r w:rsidR="001743BB" w:rsidRPr="00657E26">
        <w:rPr>
          <w:sz w:val="22"/>
          <w:szCs w:val="22"/>
          <w:lang w:val="lv-LV"/>
        </w:rPr>
        <w:t xml:space="preserve"> </w:t>
      </w:r>
      <w:r>
        <w:rPr>
          <w:bCs/>
          <w:sz w:val="22"/>
          <w:szCs w:val="22"/>
          <w:lang w:val="lv-LV"/>
        </w:rPr>
        <w:t xml:space="preserve">skat. informāciju tīmekļa vietnēs </w:t>
      </w:r>
      <w:hyperlink r:id="rId9" w:history="1">
        <w:r w:rsidRPr="00B87263">
          <w:rPr>
            <w:rStyle w:val="Hyperlink"/>
            <w:bCs/>
            <w:sz w:val="22"/>
            <w:szCs w:val="22"/>
            <w:lang w:val="lv-LV"/>
          </w:rPr>
          <w:t>www.rtu.lv</w:t>
        </w:r>
      </w:hyperlink>
      <w:r>
        <w:rPr>
          <w:bCs/>
          <w:sz w:val="22"/>
          <w:szCs w:val="22"/>
          <w:lang w:val="lv-LV"/>
        </w:rPr>
        <w:t xml:space="preserve"> sadaļā “Publiskie iepirkumi” un </w:t>
      </w:r>
      <w:hyperlink r:id="rId10" w:history="1">
        <w:r w:rsidRPr="00B87263">
          <w:rPr>
            <w:rStyle w:val="Hyperlink"/>
            <w:bCs/>
            <w:sz w:val="22"/>
            <w:szCs w:val="22"/>
            <w:lang w:val="lv-LV"/>
          </w:rPr>
          <w:t>www.eis.gov.lv</w:t>
        </w:r>
      </w:hyperlink>
      <w:r w:rsidR="00B14BF2" w:rsidRPr="00657E26">
        <w:rPr>
          <w:bCs/>
          <w:sz w:val="22"/>
          <w:szCs w:val="22"/>
          <w:lang w:val="lv-LV"/>
        </w:rPr>
        <w:t>.</w:t>
      </w:r>
      <w:r w:rsidR="00235F80" w:rsidRPr="00657E26">
        <w:rPr>
          <w:bCs/>
          <w:sz w:val="22"/>
          <w:szCs w:val="22"/>
          <w:lang w:val="lv-LV"/>
        </w:rPr>
        <w:t xml:space="preserve"> </w:t>
      </w:r>
    </w:p>
    <w:p w:rsidR="00235F80" w:rsidRDefault="00657E26" w:rsidP="00736078">
      <w:pPr>
        <w:numPr>
          <w:ilvl w:val="0"/>
          <w:numId w:val="2"/>
        </w:numPr>
        <w:spacing w:before="120"/>
        <w:ind w:left="284" w:hanging="284"/>
        <w:jc w:val="both"/>
        <w:rPr>
          <w:b/>
          <w:sz w:val="22"/>
          <w:szCs w:val="22"/>
          <w:lang w:val="lv-LV"/>
        </w:rPr>
      </w:pPr>
      <w:r>
        <w:rPr>
          <w:b/>
          <w:sz w:val="22"/>
          <w:szCs w:val="22"/>
          <w:lang w:val="lv-LV"/>
        </w:rPr>
        <w:t xml:space="preserve"> </w:t>
      </w:r>
      <w:r w:rsidR="001743BB" w:rsidRPr="00657E26">
        <w:rPr>
          <w:b/>
          <w:sz w:val="22"/>
          <w:szCs w:val="22"/>
          <w:lang w:val="lv-LV"/>
        </w:rPr>
        <w:t xml:space="preserve">Saņemtie piedāvājumi: </w:t>
      </w:r>
    </w:p>
    <w:tbl>
      <w:tblPr>
        <w:tblStyle w:val="TableGrid2"/>
        <w:tblW w:w="4815" w:type="pct"/>
        <w:tblInd w:w="355" w:type="dxa"/>
        <w:tblLayout w:type="fixed"/>
        <w:tblLook w:val="04A0" w:firstRow="1" w:lastRow="0" w:firstColumn="1" w:lastColumn="0" w:noHBand="0" w:noVBand="1"/>
      </w:tblPr>
      <w:tblGrid>
        <w:gridCol w:w="643"/>
        <w:gridCol w:w="2961"/>
        <w:gridCol w:w="2770"/>
        <w:gridCol w:w="2898"/>
      </w:tblGrid>
      <w:tr w:rsidR="00F10816" w:rsidRPr="00E61641" w:rsidTr="008B79A5">
        <w:tc>
          <w:tcPr>
            <w:tcW w:w="346" w:type="pct"/>
            <w:shd w:val="pct5" w:color="auto" w:fill="auto"/>
          </w:tcPr>
          <w:p w:rsidR="00F10816" w:rsidRPr="00E61641" w:rsidRDefault="00F10816" w:rsidP="00F10816">
            <w:pPr>
              <w:jc w:val="center"/>
              <w:rPr>
                <w:b/>
                <w:bCs/>
                <w:sz w:val="22"/>
                <w:szCs w:val="22"/>
                <w:lang w:val="lv-LV"/>
              </w:rPr>
            </w:pPr>
            <w:r w:rsidRPr="002D69FC">
              <w:rPr>
                <w:b/>
                <w:bCs/>
                <w:sz w:val="22"/>
                <w:szCs w:val="22"/>
                <w:lang w:val="lv-LV"/>
              </w:rPr>
              <w:t>N.</w:t>
            </w:r>
          </w:p>
          <w:p w:rsidR="00F10816" w:rsidRPr="002D69FC" w:rsidRDefault="00F10816" w:rsidP="00F10816">
            <w:pPr>
              <w:jc w:val="center"/>
              <w:rPr>
                <w:b/>
                <w:bCs/>
                <w:sz w:val="22"/>
                <w:szCs w:val="22"/>
                <w:lang w:val="lv-LV"/>
              </w:rPr>
            </w:pPr>
            <w:r w:rsidRPr="002D69FC">
              <w:rPr>
                <w:b/>
                <w:bCs/>
                <w:sz w:val="22"/>
                <w:szCs w:val="22"/>
                <w:lang w:val="lv-LV"/>
              </w:rPr>
              <w:t>p.k.</w:t>
            </w:r>
          </w:p>
        </w:tc>
        <w:tc>
          <w:tcPr>
            <w:tcW w:w="1597" w:type="pct"/>
            <w:shd w:val="pct5" w:color="auto" w:fill="auto"/>
          </w:tcPr>
          <w:p w:rsidR="00F10816" w:rsidRPr="002D69FC" w:rsidRDefault="00F10816" w:rsidP="00F10816">
            <w:pPr>
              <w:jc w:val="center"/>
              <w:rPr>
                <w:b/>
                <w:bCs/>
                <w:sz w:val="22"/>
                <w:szCs w:val="22"/>
                <w:lang w:val="lv-LV"/>
              </w:rPr>
            </w:pPr>
            <w:r w:rsidRPr="002D69FC">
              <w:rPr>
                <w:b/>
                <w:bCs/>
                <w:sz w:val="22"/>
                <w:szCs w:val="22"/>
                <w:lang w:val="lv-LV"/>
              </w:rPr>
              <w:t>Pretendents</w:t>
            </w:r>
          </w:p>
        </w:tc>
        <w:tc>
          <w:tcPr>
            <w:tcW w:w="1494" w:type="pct"/>
            <w:shd w:val="pct5" w:color="auto" w:fill="auto"/>
          </w:tcPr>
          <w:p w:rsidR="00F10816" w:rsidRPr="00E61641" w:rsidRDefault="00F10816" w:rsidP="00F10816">
            <w:pPr>
              <w:jc w:val="center"/>
              <w:rPr>
                <w:b/>
                <w:bCs/>
                <w:color w:val="000000"/>
                <w:sz w:val="22"/>
                <w:szCs w:val="22"/>
                <w:lang w:val="en-US"/>
              </w:rPr>
            </w:pPr>
            <w:proofErr w:type="spellStart"/>
            <w:r w:rsidRPr="00E61641">
              <w:rPr>
                <w:b/>
                <w:bCs/>
                <w:color w:val="000000"/>
                <w:sz w:val="22"/>
                <w:szCs w:val="22"/>
                <w:lang w:val="en-US"/>
              </w:rPr>
              <w:t>Pretendenta</w:t>
            </w:r>
            <w:proofErr w:type="spellEnd"/>
            <w:r w:rsidRPr="00E61641">
              <w:rPr>
                <w:b/>
                <w:bCs/>
                <w:color w:val="000000"/>
                <w:sz w:val="22"/>
                <w:szCs w:val="22"/>
                <w:lang w:val="en-US"/>
              </w:rPr>
              <w:t xml:space="preserve"> </w:t>
            </w:r>
            <w:proofErr w:type="spellStart"/>
            <w:r w:rsidRPr="00E61641">
              <w:rPr>
                <w:b/>
                <w:bCs/>
                <w:color w:val="000000"/>
                <w:sz w:val="22"/>
                <w:szCs w:val="22"/>
                <w:lang w:val="en-US"/>
              </w:rPr>
              <w:t>piedāvātā</w:t>
            </w:r>
            <w:proofErr w:type="spellEnd"/>
            <w:r w:rsidRPr="00E61641">
              <w:rPr>
                <w:b/>
                <w:bCs/>
                <w:color w:val="000000"/>
                <w:sz w:val="22"/>
                <w:szCs w:val="22"/>
                <w:lang w:val="en-US"/>
              </w:rPr>
              <w:t xml:space="preserve"> </w:t>
            </w:r>
            <w:proofErr w:type="spellStart"/>
            <w:r w:rsidRPr="00E61641">
              <w:rPr>
                <w:b/>
                <w:bCs/>
                <w:color w:val="000000"/>
                <w:sz w:val="22"/>
                <w:szCs w:val="22"/>
                <w:lang w:val="en-US"/>
              </w:rPr>
              <w:t>līgumcena</w:t>
            </w:r>
            <w:proofErr w:type="spellEnd"/>
            <w:r w:rsidRPr="00E61641">
              <w:rPr>
                <w:b/>
                <w:bCs/>
                <w:color w:val="000000"/>
                <w:sz w:val="22"/>
                <w:szCs w:val="22"/>
                <w:lang w:val="en-US"/>
              </w:rPr>
              <w:t>, EUR (bez PVN)</w:t>
            </w:r>
          </w:p>
        </w:tc>
        <w:tc>
          <w:tcPr>
            <w:tcW w:w="1564" w:type="pct"/>
            <w:shd w:val="pct5" w:color="auto" w:fill="auto"/>
          </w:tcPr>
          <w:p w:rsidR="00F10816" w:rsidRPr="002D69FC" w:rsidRDefault="00F10816" w:rsidP="00F10816">
            <w:pPr>
              <w:jc w:val="center"/>
              <w:rPr>
                <w:b/>
                <w:bCs/>
                <w:sz w:val="22"/>
                <w:szCs w:val="22"/>
                <w:lang w:val="lv-LV"/>
              </w:rPr>
            </w:pPr>
            <w:r w:rsidRPr="002D69FC">
              <w:rPr>
                <w:b/>
                <w:bCs/>
                <w:sz w:val="22"/>
                <w:szCs w:val="22"/>
                <w:lang w:val="lv-LV"/>
              </w:rPr>
              <w:t>Piedāvājuma iesniegšanas datums un laiks</w:t>
            </w:r>
          </w:p>
        </w:tc>
      </w:tr>
      <w:tr w:rsidR="008B79A5" w:rsidRPr="00E61641" w:rsidTr="008B79A5">
        <w:tc>
          <w:tcPr>
            <w:tcW w:w="346" w:type="pct"/>
          </w:tcPr>
          <w:p w:rsidR="008B79A5" w:rsidRPr="002D69FC" w:rsidRDefault="008B79A5" w:rsidP="008B79A5">
            <w:pPr>
              <w:jc w:val="both"/>
              <w:rPr>
                <w:bCs/>
                <w:sz w:val="22"/>
                <w:szCs w:val="22"/>
                <w:lang w:val="lv-LV"/>
              </w:rPr>
            </w:pPr>
            <w:r w:rsidRPr="002D69FC">
              <w:rPr>
                <w:bCs/>
                <w:sz w:val="22"/>
                <w:szCs w:val="22"/>
                <w:lang w:val="lv-LV"/>
              </w:rPr>
              <w:t>1.</w:t>
            </w:r>
          </w:p>
        </w:tc>
        <w:tc>
          <w:tcPr>
            <w:tcW w:w="1597" w:type="pct"/>
          </w:tcPr>
          <w:p w:rsidR="008B79A5" w:rsidRPr="008B79A5" w:rsidRDefault="008B79A5" w:rsidP="008B79A5">
            <w:pPr>
              <w:jc w:val="center"/>
              <w:rPr>
                <w:b/>
                <w:bCs/>
                <w:sz w:val="22"/>
                <w:szCs w:val="22"/>
              </w:rPr>
            </w:pPr>
            <w:r w:rsidRPr="008B79A5">
              <w:rPr>
                <w:sz w:val="22"/>
                <w:szCs w:val="22"/>
              </w:rPr>
              <w:t>"</w:t>
            </w:r>
            <w:proofErr w:type="spellStart"/>
            <w:r w:rsidRPr="008B79A5">
              <w:rPr>
                <w:sz w:val="22"/>
                <w:szCs w:val="22"/>
              </w:rPr>
              <w:t>Labochema</w:t>
            </w:r>
            <w:proofErr w:type="spellEnd"/>
            <w:r w:rsidRPr="008B79A5">
              <w:rPr>
                <w:sz w:val="22"/>
                <w:szCs w:val="22"/>
              </w:rPr>
              <w:t xml:space="preserve"> </w:t>
            </w:r>
            <w:proofErr w:type="spellStart"/>
            <w:r w:rsidRPr="008B79A5">
              <w:rPr>
                <w:sz w:val="22"/>
                <w:szCs w:val="22"/>
              </w:rPr>
              <w:t>Latvija</w:t>
            </w:r>
            <w:proofErr w:type="spellEnd"/>
            <w:r w:rsidRPr="008B79A5">
              <w:rPr>
                <w:sz w:val="22"/>
                <w:szCs w:val="22"/>
              </w:rPr>
              <w:t>" SIA</w:t>
            </w:r>
          </w:p>
        </w:tc>
        <w:tc>
          <w:tcPr>
            <w:tcW w:w="1494" w:type="pct"/>
          </w:tcPr>
          <w:p w:rsidR="008B79A5" w:rsidRPr="008B79A5" w:rsidRDefault="008B79A5" w:rsidP="008B79A5">
            <w:pPr>
              <w:jc w:val="center"/>
              <w:rPr>
                <w:b/>
                <w:bCs/>
                <w:sz w:val="22"/>
                <w:szCs w:val="22"/>
              </w:rPr>
            </w:pPr>
            <w:r w:rsidRPr="008B79A5">
              <w:rPr>
                <w:sz w:val="22"/>
                <w:szCs w:val="22"/>
              </w:rPr>
              <w:t>1598860</w:t>
            </w:r>
          </w:p>
        </w:tc>
        <w:tc>
          <w:tcPr>
            <w:tcW w:w="1564" w:type="pct"/>
          </w:tcPr>
          <w:p w:rsidR="008B79A5" w:rsidRPr="008B79A5" w:rsidRDefault="008B79A5" w:rsidP="008B79A5">
            <w:pPr>
              <w:jc w:val="center"/>
              <w:rPr>
                <w:b/>
                <w:sz w:val="22"/>
                <w:szCs w:val="22"/>
              </w:rPr>
            </w:pPr>
            <w:r w:rsidRPr="008B79A5">
              <w:rPr>
                <w:sz w:val="22"/>
                <w:szCs w:val="22"/>
              </w:rPr>
              <w:t xml:space="preserve">04.11.2018 </w:t>
            </w:r>
            <w:proofErr w:type="spellStart"/>
            <w:r w:rsidRPr="008B79A5">
              <w:rPr>
                <w:sz w:val="22"/>
                <w:szCs w:val="22"/>
              </w:rPr>
              <w:t>plkst</w:t>
            </w:r>
            <w:proofErr w:type="spellEnd"/>
            <w:r w:rsidRPr="008B79A5">
              <w:rPr>
                <w:sz w:val="22"/>
                <w:szCs w:val="22"/>
              </w:rPr>
              <w:t>. 11:17</w:t>
            </w:r>
          </w:p>
        </w:tc>
      </w:tr>
    </w:tbl>
    <w:p w:rsidR="001743BB" w:rsidRPr="00E61641" w:rsidRDefault="00657E26" w:rsidP="001743BB">
      <w:pPr>
        <w:numPr>
          <w:ilvl w:val="0"/>
          <w:numId w:val="2"/>
        </w:numPr>
        <w:spacing w:before="120"/>
        <w:ind w:left="284" w:hanging="284"/>
        <w:jc w:val="both"/>
        <w:rPr>
          <w:b/>
          <w:sz w:val="22"/>
          <w:szCs w:val="22"/>
          <w:lang w:val="lv-LV"/>
        </w:rPr>
      </w:pPr>
      <w:r w:rsidRPr="00E61641">
        <w:rPr>
          <w:b/>
          <w:sz w:val="22"/>
          <w:szCs w:val="22"/>
          <w:lang w:val="lv-LV"/>
        </w:rPr>
        <w:t xml:space="preserve"> </w:t>
      </w:r>
      <w:r w:rsidR="001743BB" w:rsidRPr="00E61641">
        <w:rPr>
          <w:b/>
          <w:sz w:val="22"/>
          <w:szCs w:val="22"/>
          <w:lang w:val="lv-LV"/>
        </w:rPr>
        <w:t>Pretendenti, kuru iesniegtie kvalifikācijas dokumenti un iesniegtie piedāvājumi neatbilda nolikumā izvirzītajām prasībām:</w:t>
      </w:r>
      <w:r w:rsidR="001743BB" w:rsidRPr="00E61641">
        <w:rPr>
          <w:sz w:val="22"/>
          <w:szCs w:val="22"/>
          <w:lang w:val="lv-LV"/>
        </w:rPr>
        <w:t xml:space="preserve"> nav.</w:t>
      </w:r>
    </w:p>
    <w:p w:rsidR="001743BB" w:rsidRPr="00E61641" w:rsidRDefault="00657E26" w:rsidP="001743BB">
      <w:pPr>
        <w:numPr>
          <w:ilvl w:val="0"/>
          <w:numId w:val="2"/>
        </w:numPr>
        <w:spacing w:before="120"/>
        <w:ind w:left="284" w:hanging="284"/>
        <w:jc w:val="both"/>
        <w:rPr>
          <w:bCs/>
          <w:sz w:val="22"/>
          <w:szCs w:val="22"/>
          <w:lang w:val="lv-LV"/>
        </w:rPr>
      </w:pPr>
      <w:r w:rsidRPr="00E61641">
        <w:rPr>
          <w:b/>
          <w:sz w:val="22"/>
          <w:szCs w:val="22"/>
          <w:lang w:val="lv-LV"/>
        </w:rPr>
        <w:t xml:space="preserve"> </w:t>
      </w:r>
      <w:r w:rsidR="001743BB" w:rsidRPr="00E61641">
        <w:rPr>
          <w:b/>
          <w:sz w:val="22"/>
          <w:szCs w:val="22"/>
          <w:lang w:val="lv-LV"/>
        </w:rPr>
        <w:t>Komisijas locekļu vērtējumi attiecībā uz katru piedāvājumu</w:t>
      </w:r>
      <w:r w:rsidR="001743BB" w:rsidRPr="008B79A5">
        <w:rPr>
          <w:b/>
          <w:sz w:val="22"/>
          <w:szCs w:val="22"/>
          <w:lang w:val="lv-LV"/>
        </w:rPr>
        <w:t>:</w:t>
      </w:r>
      <w:r w:rsidR="001743BB" w:rsidRPr="00E61641">
        <w:rPr>
          <w:sz w:val="22"/>
          <w:szCs w:val="22"/>
          <w:lang w:val="lv-LV"/>
        </w:rPr>
        <w:t xml:space="preserve"> </w:t>
      </w:r>
      <w:r w:rsidR="008B79A5">
        <w:rPr>
          <w:sz w:val="22"/>
          <w:szCs w:val="22"/>
          <w:lang w:val="lv-LV"/>
        </w:rPr>
        <w:t>nav.</w:t>
      </w:r>
    </w:p>
    <w:p w:rsidR="00B14BF2" w:rsidRPr="008B79A5" w:rsidRDefault="00D15F68" w:rsidP="00B14BF2">
      <w:pPr>
        <w:numPr>
          <w:ilvl w:val="0"/>
          <w:numId w:val="2"/>
        </w:numPr>
        <w:spacing w:before="120"/>
        <w:jc w:val="both"/>
        <w:rPr>
          <w:bCs/>
          <w:sz w:val="22"/>
          <w:szCs w:val="22"/>
          <w:lang w:val="lv-LV"/>
        </w:rPr>
      </w:pPr>
      <w:r w:rsidRPr="00E61641">
        <w:rPr>
          <w:b/>
          <w:sz w:val="22"/>
          <w:szCs w:val="22"/>
          <w:lang w:val="lv-LV"/>
        </w:rPr>
        <w:t>Tā</w:t>
      </w:r>
      <w:r w:rsidR="001743BB" w:rsidRPr="00E61641">
        <w:rPr>
          <w:b/>
          <w:sz w:val="22"/>
          <w:szCs w:val="22"/>
          <w:lang w:val="lv-LV"/>
        </w:rPr>
        <w:t xml:space="preserve"> pretendent</w:t>
      </w:r>
      <w:r w:rsidRPr="00E61641">
        <w:rPr>
          <w:b/>
          <w:sz w:val="22"/>
          <w:szCs w:val="22"/>
          <w:lang w:val="lv-LV"/>
        </w:rPr>
        <w:t>a</w:t>
      </w:r>
      <w:r w:rsidR="001743BB" w:rsidRPr="00E61641">
        <w:rPr>
          <w:b/>
          <w:sz w:val="22"/>
          <w:szCs w:val="22"/>
          <w:lang w:val="lv-LV"/>
        </w:rPr>
        <w:t xml:space="preserve"> nosaukums, ar kur</w:t>
      </w:r>
      <w:r w:rsidRPr="00E61641">
        <w:rPr>
          <w:b/>
          <w:sz w:val="22"/>
          <w:szCs w:val="22"/>
          <w:lang w:val="lv-LV"/>
        </w:rPr>
        <w:t>u</w:t>
      </w:r>
      <w:r w:rsidR="001743BB" w:rsidRPr="00E61641">
        <w:rPr>
          <w:b/>
          <w:sz w:val="22"/>
          <w:szCs w:val="22"/>
          <w:lang w:val="lv-LV"/>
        </w:rPr>
        <w:t xml:space="preserve"> </w:t>
      </w:r>
      <w:r w:rsidRPr="00E61641">
        <w:rPr>
          <w:b/>
          <w:sz w:val="22"/>
          <w:szCs w:val="22"/>
          <w:lang w:val="lv-LV"/>
        </w:rPr>
        <w:t>nolemts slēgt iepirkuma līgumu</w:t>
      </w:r>
      <w:r w:rsidR="001743BB" w:rsidRPr="00E61641">
        <w:rPr>
          <w:sz w:val="22"/>
          <w:szCs w:val="22"/>
          <w:lang w:val="lv-LV"/>
        </w:rPr>
        <w:t xml:space="preserve">: </w:t>
      </w:r>
      <w:r w:rsidR="00657E26" w:rsidRPr="00E61641">
        <w:rPr>
          <w:sz w:val="22"/>
          <w:szCs w:val="22"/>
          <w:lang w:val="lv-LV"/>
        </w:rPr>
        <w:t xml:space="preserve">lēmums pieņemts </w:t>
      </w:r>
      <w:r w:rsidR="008B79A5">
        <w:rPr>
          <w:sz w:val="22"/>
          <w:szCs w:val="22"/>
          <w:lang w:val="lv-LV"/>
        </w:rPr>
        <w:t>05.03.2019</w:t>
      </w:r>
      <w:r w:rsidR="00657E26" w:rsidRPr="00E61641">
        <w:rPr>
          <w:sz w:val="22"/>
          <w:szCs w:val="22"/>
          <w:lang w:val="lv-LV"/>
        </w:rPr>
        <w:t>.:</w:t>
      </w:r>
    </w:p>
    <w:p w:rsidR="008B79A5" w:rsidRPr="008B79A5" w:rsidRDefault="008B79A5" w:rsidP="008B79A5">
      <w:pPr>
        <w:spacing w:before="120"/>
        <w:ind w:left="360"/>
        <w:jc w:val="both"/>
        <w:rPr>
          <w:bCs/>
          <w:sz w:val="22"/>
          <w:szCs w:val="22"/>
          <w:lang w:val="lv-LV"/>
        </w:rPr>
      </w:pPr>
      <w:r w:rsidRPr="008B79A5">
        <w:rPr>
          <w:bCs/>
          <w:sz w:val="22"/>
          <w:szCs w:val="22"/>
          <w:lang w:val="lv-LV"/>
        </w:rPr>
        <w:t>pamatojoties uz Ministru kabineta 28.02.2017. noteikumu Nr.107 “Iepirkumu procedūru un metu konkursu norises kārtība” 230.punktu, pārtraukt iepirkumu sakarā ar to, ka ir nepieciešams veikt šādus grozījumus iepirkuma nolikumā un iepirkuma priekšmeta Tehniskajā specifikācijā (nolikuma pielikums Nr.2):</w:t>
      </w:r>
    </w:p>
    <w:p w:rsidR="008B79A5" w:rsidRPr="008B79A5" w:rsidRDefault="008B79A5" w:rsidP="008B79A5">
      <w:pPr>
        <w:spacing w:before="120"/>
        <w:ind w:left="360"/>
        <w:jc w:val="both"/>
        <w:rPr>
          <w:bCs/>
          <w:sz w:val="22"/>
          <w:szCs w:val="22"/>
          <w:lang w:val="lv-LV"/>
        </w:rPr>
      </w:pPr>
      <w:r w:rsidRPr="008B79A5">
        <w:rPr>
          <w:bCs/>
          <w:sz w:val="22"/>
          <w:szCs w:val="22"/>
          <w:lang w:val="lv-LV"/>
        </w:rPr>
        <w:t>1) atbilstoši Centrālās finanšu un līgumu aģentūras 30.01.2019. vēstulē Nr.39-2-40/1080 sniegtajam atzinumam projekta vienošanās 1.1.1.1/16/A/147 pārbaudes ietvaros:</w:t>
      </w:r>
    </w:p>
    <w:p w:rsidR="008B79A5" w:rsidRPr="008B79A5" w:rsidRDefault="008B79A5" w:rsidP="008B79A5">
      <w:pPr>
        <w:spacing w:before="120"/>
        <w:ind w:left="360"/>
        <w:jc w:val="both"/>
        <w:rPr>
          <w:bCs/>
          <w:sz w:val="22"/>
          <w:szCs w:val="22"/>
          <w:lang w:val="lv-LV"/>
        </w:rPr>
      </w:pPr>
      <w:r w:rsidRPr="008B79A5">
        <w:rPr>
          <w:bCs/>
          <w:sz w:val="22"/>
          <w:szCs w:val="22"/>
          <w:lang w:val="lv-LV"/>
        </w:rPr>
        <w:t xml:space="preserve">1.1) iepirkuma nolikuma 4.punktā “Pretendentu kvalifikācija” nav iekļautas prasības attiecībā uz nepieciešamību pretendentu piedāvājumos norādīt visus tos apakšuzņēmējus, kuru sniedzamo pakalpojumu vērtība ir 10 procenti no kopējās iepirkuma līguma vērtības vai lielāka, un katram šādam apakšuzņēmējam izpildei nododamo iepirkuma līguma daļu. </w:t>
      </w:r>
    </w:p>
    <w:p w:rsidR="008B79A5" w:rsidRPr="008B79A5" w:rsidRDefault="008B79A5" w:rsidP="008B79A5">
      <w:pPr>
        <w:spacing w:before="120"/>
        <w:ind w:left="360"/>
        <w:jc w:val="both"/>
        <w:rPr>
          <w:bCs/>
          <w:sz w:val="22"/>
          <w:szCs w:val="22"/>
          <w:lang w:val="lv-LV"/>
        </w:rPr>
      </w:pPr>
      <w:r w:rsidRPr="008B79A5">
        <w:rPr>
          <w:bCs/>
          <w:sz w:val="22"/>
          <w:szCs w:val="22"/>
          <w:lang w:val="lv-LV"/>
        </w:rPr>
        <w:t>Ievērojot faktu, ka līgums paredz iekārtu piegādi, uzstādīšanu, testēšanu, kā arī pasūtītāja personāla vispārēju (vismaz 8 dienu) un padziļinātu (vismaz 6 dienu) apmācību darbam ar iekārtu, pasūtītājs, neparedzot nolikumā pretendenta tiesības piesaistīt apakšuzņēmējus pakalpojumu sniegšanā, ierobežoja brīvu konkurenci un potenciālo pretendentu loku;</w:t>
      </w:r>
    </w:p>
    <w:p w:rsidR="008B79A5" w:rsidRPr="008B79A5" w:rsidRDefault="008B79A5" w:rsidP="008B79A5">
      <w:pPr>
        <w:spacing w:before="120"/>
        <w:ind w:left="360"/>
        <w:jc w:val="both"/>
        <w:rPr>
          <w:bCs/>
          <w:sz w:val="22"/>
          <w:szCs w:val="22"/>
          <w:lang w:val="lv-LV"/>
        </w:rPr>
      </w:pPr>
      <w:r w:rsidRPr="008B79A5">
        <w:rPr>
          <w:bCs/>
          <w:sz w:val="22"/>
          <w:szCs w:val="22"/>
          <w:lang w:val="lv-LV"/>
        </w:rPr>
        <w:t>1.2) iepirkuma līgumā (nolikuma pielikums Nr.4) nav atrunāta piedāvājumā norādītā apakšuzņēmēja nomaiņas un jauna apakšuzņēmēja piesaistes kārtība atbilstoši Publisko iepirkumu likuma 62.panta noteikumiem.</w:t>
      </w:r>
    </w:p>
    <w:p w:rsidR="008B79A5" w:rsidRPr="008B79A5" w:rsidRDefault="008B79A5" w:rsidP="008B79A5">
      <w:pPr>
        <w:spacing w:before="120"/>
        <w:ind w:left="360"/>
        <w:jc w:val="both"/>
        <w:rPr>
          <w:bCs/>
          <w:sz w:val="22"/>
          <w:szCs w:val="22"/>
          <w:lang w:val="lv-LV"/>
        </w:rPr>
      </w:pPr>
      <w:r w:rsidRPr="008B79A5">
        <w:rPr>
          <w:bCs/>
          <w:sz w:val="22"/>
          <w:szCs w:val="22"/>
          <w:lang w:val="lv-LV"/>
        </w:rPr>
        <w:t>Ņemot vērā, ka konkursa nolikuma 4.1.4. un 4.1.5. punkti paredz nepieciešamību norādīt personālu, kas tiks iesaistīts līguma izpildē, pasūtītājam līguma projektā bija jāparedz piegādātāja tiesības nomainīt personālu atbilstoši likuma regulējumam;</w:t>
      </w:r>
    </w:p>
    <w:p w:rsidR="008B79A5" w:rsidRPr="008B79A5" w:rsidRDefault="008B79A5" w:rsidP="008B79A5">
      <w:pPr>
        <w:spacing w:before="120"/>
        <w:ind w:left="360"/>
        <w:jc w:val="both"/>
        <w:rPr>
          <w:bCs/>
          <w:sz w:val="22"/>
          <w:szCs w:val="22"/>
          <w:lang w:val="lv-LV"/>
        </w:rPr>
      </w:pPr>
      <w:r w:rsidRPr="008B79A5">
        <w:rPr>
          <w:bCs/>
          <w:sz w:val="22"/>
          <w:szCs w:val="22"/>
          <w:lang w:val="lv-LV"/>
        </w:rPr>
        <w:t xml:space="preserve">2) pēc pretendenta piedāvājuma atvēršanas secināts, ka iepirkuma priekšmeta Tehniskajā specifikācijā iekļauto priekšmetu tirgus vērtība ievērojami pārsniedz iepirkuma nolikuma 1.9.punktā noteikto pasūtītāja plānoto kopējo samaksu par līguma izpildi - 1445826.45 EUR (bez PVN). </w:t>
      </w:r>
    </w:p>
    <w:p w:rsidR="008B79A5" w:rsidRPr="008B79A5" w:rsidRDefault="008B79A5" w:rsidP="008B79A5">
      <w:pPr>
        <w:spacing w:before="120"/>
        <w:ind w:left="360"/>
        <w:jc w:val="both"/>
        <w:rPr>
          <w:bCs/>
          <w:sz w:val="22"/>
          <w:szCs w:val="22"/>
          <w:lang w:val="lv-LV"/>
        </w:rPr>
      </w:pPr>
      <w:r w:rsidRPr="008B79A5">
        <w:rPr>
          <w:bCs/>
          <w:sz w:val="22"/>
          <w:szCs w:val="22"/>
          <w:lang w:val="lv-LV"/>
        </w:rPr>
        <w:t>Pasūtītājs iepirkuma nolikuma 9.3.punktā ir paredzējis iespēju samazināt iepirkuma priekšmeta apjomu par Tehniskās specifikācijas 1.4.punkta pozīcijām. Tomēr, ievērojot faktu, ka projekta vienošanās Nr.1.1.1.4/17/I/004 ietvaros pasūtītājs plāno optimizēt izmaksas iepirkuma priekšmetam lielākajā apjomā, ir nepieciešams pārskatīt un samazināt iepirkuma apjomu citās Tehniskās specifikācijas pozīcijās, kā arī grozīt piedāvājuma izvēles kritērijus, ja izmaiņas skars iepirkuma nolikuma 9.1.punktā noteiktos vērtēšanas kritērijus.</w:t>
      </w:r>
    </w:p>
    <w:p w:rsidR="008B79A5" w:rsidRDefault="008B79A5" w:rsidP="008B79A5">
      <w:pPr>
        <w:spacing w:before="120"/>
        <w:ind w:left="360"/>
        <w:jc w:val="both"/>
        <w:rPr>
          <w:bCs/>
          <w:sz w:val="22"/>
          <w:szCs w:val="22"/>
          <w:lang w:val="lv-LV"/>
        </w:rPr>
      </w:pPr>
      <w:r w:rsidRPr="008B79A5">
        <w:rPr>
          <w:bCs/>
          <w:sz w:val="22"/>
          <w:szCs w:val="22"/>
          <w:lang w:val="lv-LV"/>
        </w:rPr>
        <w:t>Atbilstoši Publisko iepirkumu likuma 35.panta trešajai daļai pasūtītājs līdz piedāvājumu atvēršanai var izdarīt grozījumus iepirkuma procedūras dokumentos, ja vien grozītie noteikumi nepieļauj atšķirīgu piedāvājuma iesniegšanu vai citu pretendentu dalību iepirkuma procedūrā.  Attiecīgi  konkrētajā gadījumā iepirkuma procedūru ir nepieciešams pārtraukt  un ir jārīko jauna iepirkuma procedūra, ņemot vērā norādīto.</w:t>
      </w:r>
    </w:p>
    <w:p w:rsidR="00AB64D9" w:rsidRPr="00E61641" w:rsidRDefault="00AB64D9" w:rsidP="008B79A5">
      <w:pPr>
        <w:spacing w:before="120"/>
        <w:ind w:left="360"/>
        <w:jc w:val="both"/>
        <w:rPr>
          <w:bCs/>
          <w:sz w:val="22"/>
          <w:szCs w:val="22"/>
          <w:lang w:val="lv-LV"/>
        </w:rPr>
      </w:pPr>
      <w:r>
        <w:rPr>
          <w:bCs/>
          <w:sz w:val="22"/>
          <w:szCs w:val="22"/>
          <w:lang w:val="lv-LV"/>
        </w:rPr>
        <w:t>Plašāks pamatojums iepirkuma pārtraukšanai iekļauts iepirkuma komisijas 05.03.2019. sēdes protokolā Nr.7</w:t>
      </w:r>
      <w:bookmarkStart w:id="0" w:name="_GoBack"/>
      <w:bookmarkEnd w:id="0"/>
    </w:p>
    <w:p w:rsidR="001743BB" w:rsidRPr="008B79A5" w:rsidRDefault="001743BB" w:rsidP="008B79A5">
      <w:pPr>
        <w:spacing w:before="120"/>
        <w:ind w:right="-40"/>
        <w:jc w:val="both"/>
        <w:rPr>
          <w:sz w:val="22"/>
          <w:szCs w:val="22"/>
          <w:lang w:val="lv-LV"/>
        </w:rPr>
      </w:pPr>
    </w:p>
    <w:tbl>
      <w:tblPr>
        <w:tblW w:w="9781" w:type="dxa"/>
        <w:tblLook w:val="01E0" w:firstRow="1" w:lastRow="1" w:firstColumn="1" w:lastColumn="1" w:noHBand="0" w:noVBand="0"/>
      </w:tblPr>
      <w:tblGrid>
        <w:gridCol w:w="4276"/>
        <w:gridCol w:w="5505"/>
      </w:tblGrid>
      <w:tr w:rsidR="001743BB" w:rsidRPr="001743BB" w:rsidTr="00235F80">
        <w:trPr>
          <w:trHeight w:val="555"/>
        </w:trPr>
        <w:tc>
          <w:tcPr>
            <w:tcW w:w="4276" w:type="dxa"/>
          </w:tcPr>
          <w:p w:rsidR="001743BB" w:rsidRPr="001743BB" w:rsidRDefault="001743BB" w:rsidP="00657E26">
            <w:pPr>
              <w:spacing w:before="120"/>
              <w:jc w:val="both"/>
              <w:rPr>
                <w:sz w:val="22"/>
                <w:szCs w:val="22"/>
                <w:lang w:val="lv-LV"/>
              </w:rPr>
            </w:pPr>
            <w:r>
              <w:rPr>
                <w:sz w:val="22"/>
                <w:szCs w:val="22"/>
                <w:lang w:val="lv-LV"/>
              </w:rPr>
              <w:t>Komisijas priekšsēdētāj</w:t>
            </w:r>
            <w:r w:rsidR="00657E26">
              <w:rPr>
                <w:sz w:val="22"/>
                <w:szCs w:val="22"/>
                <w:lang w:val="lv-LV"/>
              </w:rPr>
              <w:t>s</w:t>
            </w:r>
          </w:p>
        </w:tc>
        <w:tc>
          <w:tcPr>
            <w:tcW w:w="5505" w:type="dxa"/>
          </w:tcPr>
          <w:p w:rsidR="001743BB" w:rsidRPr="001743BB" w:rsidRDefault="001743BB" w:rsidP="00360743">
            <w:pPr>
              <w:spacing w:before="120"/>
              <w:jc w:val="right"/>
              <w:rPr>
                <w:sz w:val="22"/>
                <w:szCs w:val="22"/>
                <w:lang w:val="lv-LV"/>
              </w:rPr>
            </w:pPr>
          </w:p>
          <w:p w:rsidR="001743BB" w:rsidRPr="001743BB" w:rsidRDefault="00657E26" w:rsidP="00360743">
            <w:pPr>
              <w:spacing w:before="120"/>
              <w:jc w:val="right"/>
              <w:rPr>
                <w:sz w:val="22"/>
                <w:szCs w:val="22"/>
                <w:lang w:val="lv-LV"/>
              </w:rPr>
            </w:pPr>
            <w:r>
              <w:rPr>
                <w:sz w:val="22"/>
                <w:szCs w:val="22"/>
                <w:lang w:val="lv-LV"/>
              </w:rPr>
              <w:t>J. Gramsts</w:t>
            </w:r>
          </w:p>
        </w:tc>
      </w:tr>
    </w:tbl>
    <w:p w:rsidR="001743BB" w:rsidRPr="001743BB" w:rsidRDefault="001743BB" w:rsidP="001743BB">
      <w:pPr>
        <w:pStyle w:val="Title"/>
        <w:spacing w:before="120"/>
        <w:ind w:right="-40"/>
        <w:jc w:val="both"/>
        <w:rPr>
          <w:b w:val="0"/>
          <w:sz w:val="22"/>
          <w:szCs w:val="22"/>
          <w:lang w:val="lv-LV"/>
        </w:rPr>
      </w:pPr>
    </w:p>
    <w:sectPr w:rsidR="001743BB" w:rsidRPr="001743BB" w:rsidSect="00233EF3">
      <w:footerReference w:type="even" r:id="rId11"/>
      <w:footerReference w:type="default" r:id="rId12"/>
      <w:pgSz w:w="11906" w:h="16838"/>
      <w:pgMar w:top="567" w:right="1134" w:bottom="567"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D1" w:rsidRDefault="00194633">
      <w:r>
        <w:separator/>
      </w:r>
    </w:p>
  </w:endnote>
  <w:endnote w:type="continuationSeparator" w:id="0">
    <w:p w:rsidR="00461FD1"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AB64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64D9">
      <w:rPr>
        <w:rStyle w:val="PageNumber"/>
        <w:noProof/>
      </w:rPr>
      <w:t>4</w:t>
    </w:r>
    <w:r>
      <w:rPr>
        <w:rStyle w:val="PageNumber"/>
      </w:rPr>
      <w:fldChar w:fldCharType="end"/>
    </w:r>
  </w:p>
  <w:p w:rsidR="00940D04" w:rsidRDefault="00AB64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D1" w:rsidRDefault="00194633">
      <w:r>
        <w:separator/>
      </w:r>
    </w:p>
  </w:footnote>
  <w:footnote w:type="continuationSeparator" w:id="0">
    <w:p w:rsidR="00461FD1" w:rsidRDefault="001946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158C5EFE"/>
    <w:multiLevelType w:val="hybridMultilevel"/>
    <w:tmpl w:val="0212AA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B9B031B"/>
    <w:multiLevelType w:val="hybridMultilevel"/>
    <w:tmpl w:val="6C1A80DE"/>
    <w:lvl w:ilvl="0" w:tplc="7370089E">
      <w:start w:val="1"/>
      <w:numFmt w:val="decimal"/>
      <w:lvlText w:val="%1."/>
      <w:lvlJc w:val="left"/>
      <w:pPr>
        <w:ind w:left="360"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7"/>
  </w:num>
  <w:num w:numId="7">
    <w:abstractNumId w:val="2"/>
  </w:num>
  <w:num w:numId="8">
    <w:abstractNumId w:val="1"/>
  </w:num>
  <w:num w:numId="9">
    <w:abstractNumId w:val="3"/>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36246"/>
    <w:rsid w:val="00042650"/>
    <w:rsid w:val="001743BB"/>
    <w:rsid w:val="00194633"/>
    <w:rsid w:val="00231E12"/>
    <w:rsid w:val="00233EF3"/>
    <w:rsid w:val="00235F80"/>
    <w:rsid w:val="002C4B2D"/>
    <w:rsid w:val="002D69FC"/>
    <w:rsid w:val="002D749D"/>
    <w:rsid w:val="0032797F"/>
    <w:rsid w:val="00375C4A"/>
    <w:rsid w:val="003E1357"/>
    <w:rsid w:val="00440121"/>
    <w:rsid w:val="00461FD1"/>
    <w:rsid w:val="0046765E"/>
    <w:rsid w:val="004F0BD5"/>
    <w:rsid w:val="004F1530"/>
    <w:rsid w:val="00517409"/>
    <w:rsid w:val="00555640"/>
    <w:rsid w:val="00657E26"/>
    <w:rsid w:val="006E2E32"/>
    <w:rsid w:val="00844E56"/>
    <w:rsid w:val="008B79A5"/>
    <w:rsid w:val="00996C44"/>
    <w:rsid w:val="00A81CD6"/>
    <w:rsid w:val="00AB64D9"/>
    <w:rsid w:val="00AD7605"/>
    <w:rsid w:val="00B01C98"/>
    <w:rsid w:val="00B14BF2"/>
    <w:rsid w:val="00BD7A25"/>
    <w:rsid w:val="00BE3EDA"/>
    <w:rsid w:val="00C9727A"/>
    <w:rsid w:val="00CD2A86"/>
    <w:rsid w:val="00D15F68"/>
    <w:rsid w:val="00D4623A"/>
    <w:rsid w:val="00D70F6F"/>
    <w:rsid w:val="00DF11AC"/>
    <w:rsid w:val="00E13A2B"/>
    <w:rsid w:val="00E61641"/>
    <w:rsid w:val="00E732D3"/>
    <w:rsid w:val="00EA6F8E"/>
    <w:rsid w:val="00EE53E6"/>
    <w:rsid w:val="00F10816"/>
    <w:rsid w:val="00FD5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28C608B2"/>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qFormat/>
    <w:rsid w:val="001743BB"/>
    <w:pPr>
      <w:ind w:left="720"/>
    </w:pPr>
  </w:style>
  <w:style w:type="character" w:customStyle="1" w:styleId="ListParagraphChar">
    <w:name w:val="List Paragraph Char"/>
    <w:aliases w:val="Normal bullet 2 Char,Bullet list Char"/>
    <w:link w:val="ListParagraph"/>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table" w:styleId="TableGrid">
    <w:name w:val="Table Grid"/>
    <w:basedOn w:val="TableNormal"/>
    <w:uiPriority w:val="59"/>
    <w:rsid w:val="00042650"/>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5"/>
    <w:locked/>
    <w:rsid w:val="00042650"/>
    <w:rPr>
      <w:shd w:val="clear" w:color="auto" w:fill="FFFFFF"/>
    </w:rPr>
  </w:style>
  <w:style w:type="paragraph" w:customStyle="1" w:styleId="BodyText5">
    <w:name w:val="Body Text5"/>
    <w:basedOn w:val="Normal"/>
    <w:link w:val="Bodytext"/>
    <w:rsid w:val="00042650"/>
    <w:pPr>
      <w:widowControl w:val="0"/>
      <w:shd w:val="clear" w:color="auto" w:fill="FFFFFF"/>
      <w:spacing w:after="120" w:line="240" w:lineRule="atLeast"/>
      <w:ind w:hanging="1260"/>
    </w:pPr>
    <w:rPr>
      <w:rFonts w:asciiTheme="minorHAnsi" w:eastAsiaTheme="minorHAnsi" w:hAnsiTheme="minorHAnsi" w:cstheme="minorBidi"/>
      <w:sz w:val="22"/>
      <w:szCs w:val="22"/>
      <w:lang w:val="lv-LV"/>
    </w:rPr>
  </w:style>
  <w:style w:type="table" w:customStyle="1" w:styleId="TableGrid1">
    <w:name w:val="Table Grid1"/>
    <w:basedOn w:val="TableNormal"/>
    <w:next w:val="TableGrid"/>
    <w:rsid w:val="00D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D70F6F"/>
    <w:pPr>
      <w:numPr>
        <w:ilvl w:val="1"/>
        <w:numId w:val="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D70F6F"/>
    <w:pPr>
      <w:numPr>
        <w:numId w:val="8"/>
      </w:numPr>
      <w:spacing w:before="240" w:after="120"/>
      <w:jc w:val="both"/>
    </w:pPr>
    <w:rPr>
      <w:rFonts w:ascii="Cambria" w:eastAsia="Cambria" w:hAnsi="Cambria" w:cs="Cambria"/>
      <w:b/>
      <w:bCs/>
      <w:szCs w:val="20"/>
      <w:lang w:val="lv-LV"/>
    </w:rPr>
  </w:style>
  <w:style w:type="character" w:styleId="Hyperlink">
    <w:name w:val="Hyperlink"/>
    <w:basedOn w:val="DefaultParagraphFont"/>
    <w:uiPriority w:val="99"/>
    <w:unhideWhenUsed/>
    <w:rsid w:val="00657E26"/>
    <w:rPr>
      <w:color w:val="0563C1" w:themeColor="hyperlink"/>
      <w:u w:val="single"/>
    </w:rPr>
  </w:style>
  <w:style w:type="table" w:customStyle="1" w:styleId="TableGrid2">
    <w:name w:val="Table Grid2"/>
    <w:basedOn w:val="TableNormal"/>
    <w:next w:val="TableGrid"/>
    <w:rsid w:val="002D69F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79A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is.gov.lv" TargetMode="External"/><Relationship Id="rId4" Type="http://schemas.openxmlformats.org/officeDocument/2006/relationships/webSettings" Target="webSettings.xml"/><Relationship Id="rId9" Type="http://schemas.openxmlformats.org/officeDocument/2006/relationships/hyperlink" Target="http://www.rt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8566</Words>
  <Characters>4884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3</cp:revision>
  <cp:lastPrinted>2018-02-02T13:03:00Z</cp:lastPrinted>
  <dcterms:created xsi:type="dcterms:W3CDTF">2019-03-18T09:41:00Z</dcterms:created>
  <dcterms:modified xsi:type="dcterms:W3CDTF">2019-03-20T11:42:00Z</dcterms:modified>
</cp:coreProperties>
</file>